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60"/>
        <w:jc w:val="center"/>
        <w:rPr>
          <w:rFonts w:ascii="Times New Roman;serif" w:hAnsi="Times New Roman;serif"/>
          <w:b/>
          <w:color w:val="000000"/>
          <w:sz w:val="24"/>
        </w:rPr>
      </w:pPr>
      <w:r>
        <w:rPr>
          <w:rFonts w:ascii="Times New Roman;serif" w:hAnsi="Times New Roman;serif"/>
          <w:b/>
          <w:color w:val="000000"/>
          <w:sz w:val="24"/>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60"/>
        <w:jc w:val="center"/>
        <w:rPr>
          <w:rFonts w:ascii="Times New Roman;serif" w:hAnsi="Times New Roman;serif"/>
          <w:b/>
          <w:color w:val="000000"/>
          <w:sz w:val="36"/>
        </w:rPr>
      </w:pPr>
      <w:r>
        <w:rPr>
          <w:rFonts w:ascii="Times New Roman;serif" w:hAnsi="Times New Roman;serif"/>
          <w:b/>
          <w:color w:val="000000"/>
          <w:sz w:val="36"/>
        </w:rPr>
        <w:t>FORM 10-Q</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329"/>
        <w:gridCol w:w="288"/>
        <w:gridCol w:w="290"/>
        <w:gridCol w:w="2720"/>
        <w:gridCol w:w="2720"/>
        <w:gridCol w:w="3858"/>
      </w:tblGrid>
      <w:tr>
        <w:trPr/>
        <w:tc>
          <w:tcPr>
            <w:tcW w:w="32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720" w:type="dxa"/>
            <w:tcBorders/>
            <w:vAlign w:val="center"/>
          </w:tcPr>
          <w:p>
            <w:pPr>
              <w:pStyle w:val="TableContents"/>
              <w:bidi w:val="0"/>
              <w:spacing w:before="0" w:after="283"/>
              <w:jc w:val="left"/>
              <w:rPr>
                <w:sz w:val="4"/>
                <w:szCs w:val="4"/>
              </w:rPr>
            </w:pPr>
            <w:r>
              <w:rPr>
                <w:sz w:val="4"/>
                <w:szCs w:val="4"/>
              </w:rPr>
            </w:r>
          </w:p>
        </w:tc>
        <w:tc>
          <w:tcPr>
            <w:tcW w:w="2720" w:type="dxa"/>
            <w:tcBorders/>
            <w:vAlign w:val="center"/>
          </w:tcPr>
          <w:p>
            <w:pPr>
              <w:pStyle w:val="TableContents"/>
              <w:bidi w:val="0"/>
              <w:spacing w:before="0" w:after="283"/>
              <w:jc w:val="left"/>
              <w:rPr>
                <w:sz w:val="4"/>
                <w:szCs w:val="4"/>
              </w:rPr>
            </w:pPr>
            <w:r>
              <w:rPr>
                <w:sz w:val="4"/>
                <w:szCs w:val="4"/>
              </w:rPr>
            </w:r>
          </w:p>
        </w:tc>
        <w:tc>
          <w:tcPr>
            <w:tcW w:w="3858" w:type="dxa"/>
            <w:tcBorders/>
            <w:vAlign w:val="center"/>
          </w:tcPr>
          <w:p>
            <w:pPr>
              <w:pStyle w:val="TableContents"/>
              <w:bidi w:val="0"/>
              <w:spacing w:before="0" w:after="283"/>
              <w:jc w:val="left"/>
              <w:rPr>
                <w:sz w:val="4"/>
                <w:szCs w:val="4"/>
              </w:rPr>
            </w:pPr>
            <w:r>
              <w:rPr>
                <w:sz w:val="4"/>
                <w:szCs w:val="4"/>
              </w:rPr>
            </w:r>
          </w:p>
        </w:tc>
      </w:tr>
      <w:tr>
        <w:trPr/>
        <w:tc>
          <w:tcPr>
            <w:tcW w:w="9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(Mark One)</w:t>
            </w:r>
          </w:p>
        </w:tc>
        <w:tc>
          <w:tcPr>
            <w:tcW w:w="92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2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QUARTERLY REPORT PURSUANT TO SECTION 13 OR 15(d) OF THE SECURITIES EXCHANGE ACT OF 1934</w:t>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For the Quarterly Period Ended September 30, 2025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OR</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TRANSITION REPORT PURSUANT TO SECTION 13 OR 15(d) OF THE SECURITIES EXCHANGE ACT OF 1934</w:t>
            </w:r>
          </w:p>
        </w:tc>
      </w:tr>
    </w:tbl>
    <w:p>
      <w:pPr>
        <w:pStyle w:val="TextBody"/>
        <w:bidi w:val="0"/>
        <w:spacing w:before="0" w:after="0"/>
        <w:jc w:val="center"/>
        <w:rPr/>
      </w:pPr>
      <w:r>
        <w:rPr/>
      </w:r>
    </w:p>
    <w:p>
      <w:pPr>
        <w:pStyle w:val="TextBody"/>
        <w:bidi w:val="0"/>
        <w:spacing w:lineRule="auto" w:line="288" w:before="0" w:after="0"/>
        <w:jc w:val="center"/>
        <w:rPr/>
      </w:pPr>
      <w:r>
        <w:rPr>
          <w:rFonts w:ascii="Times New Roman;serif" w:hAnsi="Times New Roman;serif"/>
          <w:b/>
          <w:color w:val="000000"/>
          <w:sz w:val="20"/>
        </w:rPr>
        <w:t>For the transition period from     to</w:t>
      </w:r>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Commission File Number: 001-35060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drawing>
          <wp:inline distT="0" distB="0" distL="0" distR="0">
            <wp:extent cx="3200400" cy="9620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200400" cy="962025"/>
                    </a:xfrm>
                    <a:prstGeom prst="rect">
                      <a:avLst/>
                    </a:prstGeom>
                  </pic:spPr>
                </pic:pic>
              </a:graphicData>
            </a:graphic>
          </wp:inline>
        </w:drawing>
      </w:r>
      <w:bookmarkStart w:id="0" w:name="i-1"/>
      <w:bookmarkEnd w:id="0"/>
    </w:p>
    <w:p>
      <w:pPr>
        <w:pStyle w:val="TextBody"/>
        <w:bidi w:val="0"/>
        <w:spacing w:before="0" w:after="0"/>
        <w:jc w:val="center"/>
        <w:rPr/>
      </w:pPr>
      <w:r>
        <w:rPr/>
      </w:r>
    </w:p>
    <w:p>
      <w:pPr>
        <w:pStyle w:val="TextBody"/>
        <w:bidi w:val="0"/>
        <w:spacing w:lineRule="auto" w:line="288" w:before="0" w:after="60"/>
        <w:jc w:val="center"/>
        <w:rPr/>
      </w:pPr>
      <w:r>
        <w:rPr>
          <w:rFonts w:ascii="Times New Roman;serif" w:hAnsi="Times New Roman;serif"/>
          <w:b/>
          <w:color w:val="000000"/>
          <w:sz w:val="36"/>
        </w:rPr>
        <w:t>PACIRA BIOSCIENCES, INC.</w:t>
      </w:r>
      <w:r>
        <w:rPr>
          <w:color w:val="000000"/>
        </w:rPr>
        <w:t xml:space="preserve"> </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(Exact Name of Registrant as Specified in its Charter)</w:t>
      </w:r>
    </w:p>
    <w:p>
      <w:pPr>
        <w:pStyle w:val="TextBody"/>
        <w:bidi w:val="0"/>
        <w:spacing w:lineRule="auto" w:line="288" w:before="0" w:after="0"/>
        <w:jc w:val="center"/>
        <w:rPr>
          <w:color w:val="000000"/>
        </w:rPr>
      </w:pP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22" w:type="dxa"/>
        <w:jc w:val="center"/>
        <w:tblInd w:w="0" w:type="dxa"/>
        <w:tblLayout w:type="fixed"/>
        <w:tblCellMar>
          <w:top w:w="28" w:type="dxa"/>
          <w:left w:w="28" w:type="dxa"/>
          <w:bottom w:w="28" w:type="dxa"/>
          <w:right w:w="28" w:type="dxa"/>
        </w:tblCellMar>
      </w:tblPr>
      <w:tblGrid>
        <w:gridCol w:w="830"/>
        <w:gridCol w:w="728"/>
        <w:gridCol w:w="737"/>
        <w:gridCol w:w="109"/>
        <w:gridCol w:w="109"/>
        <w:gridCol w:w="109"/>
        <w:gridCol w:w="438"/>
        <w:gridCol w:w="438"/>
        <w:gridCol w:w="624"/>
      </w:tblGrid>
      <w:tr>
        <w:trPr/>
        <w:tc>
          <w:tcPr>
            <w:tcW w:w="830"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r>
      <w:tr>
        <w:trPr/>
        <w:tc>
          <w:tcPr>
            <w:tcW w:w="22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51-0619477</w:t>
            </w:r>
          </w:p>
        </w:tc>
      </w:tr>
      <w:tr>
        <w:trPr/>
        <w:tc>
          <w:tcPr>
            <w:tcW w:w="22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(I.R.S. Employer</w:t>
              <w:br/>
              <w:t> Identification No.)</w:t>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2000 Sierra Point Parkway, Suite 900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Brisbane, California 94005 </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(Address and Zip Code of Principal Executive Offices)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(650) 242-8052 </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(Registrant’s Telephone Number, Including Area Code)</w:t>
      </w:r>
    </w:p>
    <w:p>
      <w:pPr>
        <w:pStyle w:val="TextBody"/>
        <w:bidi w:val="0"/>
        <w:spacing w:before="0" w:after="0"/>
        <w:jc w:val="center"/>
        <w:rPr/>
      </w:pPr>
      <w:r>
        <w:rPr/>
      </w:r>
    </w:p>
    <w:p>
      <w:pPr>
        <w:pStyle w:val="TextBody"/>
        <w:bidi w:val="0"/>
        <w:spacing w:lineRule="auto" w:line="259" w:before="0" w:after="0"/>
        <w:jc w:val="center"/>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9548" w:type="dxa"/>
        <w:jc w:val="center"/>
        <w:tblInd w:w="0" w:type="dxa"/>
        <w:tblLayout w:type="fixed"/>
        <w:tblCellMar>
          <w:top w:w="28" w:type="dxa"/>
          <w:left w:w="28" w:type="dxa"/>
          <w:bottom w:w="28" w:type="dxa"/>
          <w:right w:w="28" w:type="dxa"/>
        </w:tblCellMar>
      </w:tblPr>
      <w:tblGrid>
        <w:gridCol w:w="1301"/>
        <w:gridCol w:w="1143"/>
        <w:gridCol w:w="1156"/>
        <w:gridCol w:w="109"/>
        <w:gridCol w:w="109"/>
        <w:gridCol w:w="109"/>
        <w:gridCol w:w="489"/>
        <w:gridCol w:w="489"/>
        <w:gridCol w:w="491"/>
        <w:gridCol w:w="109"/>
        <w:gridCol w:w="109"/>
        <w:gridCol w:w="109"/>
        <w:gridCol w:w="1118"/>
        <w:gridCol w:w="1118"/>
        <w:gridCol w:w="1589"/>
      </w:tblGrid>
      <w:tr>
        <w:trPr/>
        <w:tc>
          <w:tcPr>
            <w:tcW w:w="1301"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36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PCRX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Nasdaq Global Select Market</w:t>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left"/>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color w:val="000000"/>
        </w:rPr>
        <w:t>☒ </w:t>
      </w:r>
      <w:r>
        <w:rPr>
          <w:rFonts w:ascii="Times New Roman;serif" w:hAnsi="Times New Roman;serif"/>
          <w:b w:val="false"/>
          <w:color w:val="000000"/>
          <w:sz w:val="20"/>
        </w:rPr>
        <w:t>Yes  </w:t>
      </w:r>
      <w:r>
        <w:rPr>
          <w:color w:val="000000"/>
        </w:rPr>
        <w:t>☐ </w:t>
      </w:r>
      <w:r>
        <w:rPr>
          <w:rFonts w:ascii="Times New Roman;serif" w:hAnsi="Times New Roman;serif"/>
          <w:b w:val="false"/>
          <w:color w:val="000000"/>
          <w:sz w:val="20"/>
        </w:rPr>
        <w:t>No</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w:t>
      </w:r>
      <w:r>
        <w:rPr>
          <w:color w:val="000000"/>
        </w:rPr>
        <w:t>☒ </w:t>
      </w:r>
      <w:r>
        <w:rPr>
          <w:rFonts w:ascii="Times New Roman;serif" w:hAnsi="Times New Roman;serif"/>
          <w:b w:val="false"/>
          <w:color w:val="000000"/>
          <w:sz w:val="20"/>
        </w:rPr>
        <w:t xml:space="preserve">Yes  </w:t>
      </w:r>
      <w:r>
        <w:rPr>
          <w:color w:val="000000"/>
        </w:rPr>
        <w:t>☐ </w:t>
      </w:r>
      <w:r>
        <w:rPr>
          <w:rFonts w:ascii="Times New Roman;serif" w:hAnsi="Times New Roman;serif"/>
          <w:b w:val="false"/>
          <w:color w:val="000000"/>
          <w:sz w:val="20"/>
        </w:rPr>
        <w:t>No</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jc w:val="left"/>
        <w:rPr/>
      </w:pPr>
      <w:r>
        <w:rPr/>
      </w:r>
    </w:p>
    <w:tbl>
      <w:tblPr>
        <w:tblW w:w="5909" w:type="dxa"/>
        <w:jc w:val="center"/>
        <w:tblInd w:w="0" w:type="dxa"/>
        <w:tblLayout w:type="fixed"/>
        <w:tblCellMar>
          <w:top w:w="28" w:type="dxa"/>
          <w:left w:w="28" w:type="dxa"/>
          <w:bottom w:w="28" w:type="dxa"/>
          <w:right w:w="28" w:type="dxa"/>
        </w:tblCellMar>
      </w:tblPr>
      <w:tblGrid>
        <w:gridCol w:w="124"/>
        <w:gridCol w:w="109"/>
        <w:gridCol w:w="109"/>
        <w:gridCol w:w="634"/>
        <w:gridCol w:w="634"/>
        <w:gridCol w:w="636"/>
        <w:gridCol w:w="109"/>
        <w:gridCol w:w="109"/>
        <w:gridCol w:w="109"/>
        <w:gridCol w:w="109"/>
        <w:gridCol w:w="109"/>
        <w:gridCol w:w="109"/>
        <w:gridCol w:w="769"/>
        <w:gridCol w:w="769"/>
        <w:gridCol w:w="772"/>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pursuant to Section 13(a) of the Exchange Act. </w:t>
      </w:r>
      <w:r>
        <w:rPr>
          <w:color w:val="000000"/>
        </w:rPr>
        <w:t>☐</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Indicate by check mark whether the registrant is a shell company (as defined in Rule 12b-2 of the Exchange Act). </w:t>
      </w:r>
      <w:r>
        <w:rPr>
          <w:color w:val="000000"/>
        </w:rPr>
        <w:t>☐ </w:t>
      </w:r>
      <w:r>
        <w:rPr>
          <w:rFonts w:ascii="Times New Roman;serif" w:hAnsi="Times New Roman;serif"/>
          <w:b w:val="false"/>
          <w:color w:val="000000"/>
          <w:sz w:val="20"/>
        </w:rPr>
        <w:t>Yes  </w:t>
      </w:r>
      <w:r>
        <w:rPr>
          <w:color w:val="000000"/>
        </w:rPr>
        <w:t>☒ </w:t>
      </w:r>
      <w:r>
        <w:rPr>
          <w:rFonts w:ascii="Times New Roman;serif" w:hAnsi="Times New Roman;serif"/>
          <w:b w:val="false"/>
          <w:color w:val="000000"/>
          <w:sz w:val="20"/>
        </w:rPr>
        <w:t>No</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of November 5, 2025, 43,021,275 shares of the registrant’s common stock, $0.001 par value per share, were outstanding.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39065"/>
                <wp:effectExtent l="0" t="0" r="0" b="0"/>
                <wp:wrapNone/>
                <wp:docPr id="2" name="Frame1"/>
                <a:graphic xmlns:a="http://schemas.openxmlformats.org/drawingml/2006/main">
                  <a:graphicData uri="http://schemas.microsoft.com/office/word/2010/wordprocessingShape">
                    <wps:wsp>
                      <wps:cNvSpPr txBox="1"/>
                      <wps:spPr>
                        <a:xfrm>
                          <a:off x="0" y="0"/>
                          <a:ext cx="6480175" cy="1390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ii</w:t>
                      </w:r>
                    </w:p>
                  </w:txbxContent>
                </v:textbox>
                <w10:wrap type="none"/>
              </v:rect>
            </w:pict>
          </mc:Fallback>
        </mc:AlternateContent>
      </w:r>
    </w:p>
    <w:p>
      <w:pPr>
        <w:pStyle w:val="TextBody"/>
        <w:bidi w:val="0"/>
        <w:spacing w:lineRule="auto" w:line="288" w:before="0" w:after="0"/>
        <w:jc w:val="left"/>
        <w:rPr/>
      </w:pPr>
      <w:hyperlink w:anchor="i004be9cfd92c48c78448e0b03d16957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PACIRA BIOSCIENCES,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QUARTERLY REPORT ON FORM 10-Q</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FOR THE QUARTER ENDED SEPTEMBER 30, 2025</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TABLE OF CONTENTS</w:t>
      </w:r>
    </w:p>
    <w:tbl>
      <w:tblPr>
        <w:tblW w:w="9744" w:type="dxa"/>
        <w:jc w:val="center"/>
        <w:tblInd w:w="0" w:type="dxa"/>
        <w:tblLayout w:type="fixed"/>
        <w:tblCellMar>
          <w:top w:w="28" w:type="dxa"/>
          <w:left w:w="28" w:type="dxa"/>
          <w:bottom w:w="28" w:type="dxa"/>
          <w:right w:w="28" w:type="dxa"/>
        </w:tblCellMar>
      </w:tblPr>
      <w:tblGrid>
        <w:gridCol w:w="630"/>
        <w:gridCol w:w="552"/>
        <w:gridCol w:w="552"/>
        <w:gridCol w:w="2440"/>
        <w:gridCol w:w="2440"/>
        <w:gridCol w:w="2485"/>
        <w:gridCol w:w="188"/>
        <w:gridCol w:w="188"/>
        <w:gridCol w:w="269"/>
      </w:tblGrid>
      <w:tr>
        <w:trPr/>
        <w:tc>
          <w:tcPr>
            <w:tcW w:w="630"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2440" w:type="dxa"/>
            <w:tcBorders/>
            <w:vAlign w:val="center"/>
          </w:tcPr>
          <w:p>
            <w:pPr>
              <w:pStyle w:val="TableContents"/>
              <w:bidi w:val="0"/>
              <w:spacing w:before="0" w:after="283"/>
              <w:jc w:val="left"/>
              <w:rPr>
                <w:sz w:val="4"/>
                <w:szCs w:val="4"/>
              </w:rPr>
            </w:pPr>
            <w:r>
              <w:rPr>
                <w:sz w:val="4"/>
                <w:szCs w:val="4"/>
              </w:rPr>
            </w:r>
          </w:p>
        </w:tc>
        <w:tc>
          <w:tcPr>
            <w:tcW w:w="2440" w:type="dxa"/>
            <w:tcBorders/>
            <w:vAlign w:val="center"/>
          </w:tcPr>
          <w:p>
            <w:pPr>
              <w:pStyle w:val="TableContents"/>
              <w:bidi w:val="0"/>
              <w:spacing w:before="0" w:after="283"/>
              <w:jc w:val="left"/>
              <w:rPr>
                <w:sz w:val="4"/>
                <w:szCs w:val="4"/>
              </w:rPr>
            </w:pPr>
            <w:r>
              <w:rPr>
                <w:sz w:val="4"/>
                <w:szCs w:val="4"/>
              </w:rPr>
            </w:r>
          </w:p>
        </w:tc>
        <w:tc>
          <w:tcPr>
            <w:tcW w:w="2485"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r>
      <w:tr>
        <w:trPr/>
        <w:tc>
          <w:tcPr>
            <w:tcW w:w="17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Page #</w:t>
            </w:r>
          </w:p>
        </w:tc>
      </w:tr>
      <w:tr>
        <w:trPr/>
        <w:tc>
          <w:tcPr>
            <w:tcW w:w="9099" w:type="dxa"/>
            <w:gridSpan w:val="6"/>
            <w:tcBorders/>
            <w:shd w:fill="F9F9F9" w:val="clear"/>
            <w:tcMar>
              <w:top w:w="0" w:type="dxa"/>
              <w:left w:w="0" w:type="dxa"/>
              <w:bottom w:w="0" w:type="dxa"/>
              <w:right w:w="0" w:type="dxa"/>
            </w:tcMar>
            <w:vAlign w:val="center"/>
          </w:tcPr>
          <w:p>
            <w:pPr>
              <w:pStyle w:val="TableContents"/>
              <w:bidi w:val="0"/>
              <w:spacing w:lineRule="auto" w:line="240" w:before="0" w:after="0"/>
              <w:jc w:val="center"/>
              <w:rPr/>
            </w:pPr>
            <w:hyperlink w:anchor="i004be9cfd92c48c78448e0b03d16957e_10">
              <w:r>
                <w:rPr>
                  <w:rStyle w:val="InternetLink"/>
                  <w:rFonts w:ascii="Times New Roman;serif" w:hAnsi="Times New Roman;serif"/>
                  <w:b/>
                  <w:color w:val="0000FF"/>
                  <w:sz w:val="20"/>
                  <w:u w:val="single"/>
                </w:rPr>
                <w:t>PART I. FINANCIAL INFORMATION</w:t>
              </w:r>
            </w:hyperlink>
          </w:p>
        </w:tc>
        <w:tc>
          <w:tcPr>
            <w:tcW w:w="645" w:type="dxa"/>
            <w:gridSpan w:val="3"/>
            <w:tcBorders>
              <w:top w:val="single" w:sz="8" w:space="0" w:color="000000"/>
            </w:tcBorders>
            <w:shd w:fill="F9F9F9" w:val="clear"/>
            <w:tcMar>
              <w:top w:w="30" w:type="dxa"/>
              <w:left w:w="0" w:type="dxa"/>
              <w:bottom w:w="0" w:type="dxa"/>
              <w:right w:w="0" w:type="dxa"/>
            </w:tcMar>
            <w:vAlign w:val="center"/>
          </w:tcPr>
          <w:p>
            <w:pPr>
              <w:pStyle w:val="TableContents"/>
              <w:bidi w:val="0"/>
              <w:spacing w:lineRule="auto" w:line="240" w:before="0" w:after="0"/>
              <w:jc w:val="center"/>
              <w:rPr/>
            </w:pPr>
            <w:hyperlink w:anchor="i004be9cfd92c48c78448e0b03d16957e_10">
              <w:r>
                <w:rPr>
                  <w:rStyle w:val="InternetLink"/>
                  <w:rFonts w:ascii="Times New Roman;serif" w:hAnsi="Times New Roman;serif"/>
                  <w:b w:val="false"/>
                  <w:color w:val="0000FF"/>
                  <w:sz w:val="20"/>
                  <w:u w:val="single"/>
                </w:rPr>
                <w:t>2</w:t>
              </w:r>
            </w:hyperlink>
          </w:p>
        </w:tc>
      </w:tr>
      <w:tr>
        <w:trPr/>
        <w:tc>
          <w:tcPr>
            <w:tcW w:w="1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4" w:type="dxa"/>
            <w:gridSpan w:val="3"/>
            <w:tcBorders/>
            <w:shd w:fill="F9F9F9" w:val="clear"/>
            <w:tcMar>
              <w:top w:w="0" w:type="dxa"/>
              <w:left w:w="0" w:type="dxa"/>
              <w:bottom w:w="0" w:type="dxa"/>
              <w:right w:w="0" w:type="dxa"/>
            </w:tcMar>
            <w:vAlign w:val="center"/>
          </w:tcPr>
          <w:p>
            <w:pPr>
              <w:pStyle w:val="TableContents"/>
              <w:bidi w:val="0"/>
              <w:spacing w:lineRule="auto" w:line="240" w:before="0" w:after="0"/>
              <w:jc w:val="left"/>
              <w:rPr/>
            </w:pPr>
            <w:hyperlink w:anchor="i004be9cfd92c48c78448e0b03d16957e_13">
              <w:r>
                <w:rPr>
                  <w:rStyle w:val="InternetLink"/>
                  <w:rFonts w:ascii="Times New Roman;serif" w:hAnsi="Times New Roman;serif"/>
                  <w:b w:val="false"/>
                  <w:color w:val="0000FF"/>
                  <w:sz w:val="20"/>
                  <w:u w:val="single"/>
                </w:rPr>
                <w:t>Item 1.</w:t>
              </w:r>
            </w:hyperlink>
          </w:p>
        </w:tc>
        <w:tc>
          <w:tcPr>
            <w:tcW w:w="7365" w:type="dxa"/>
            <w:gridSpan w:val="3"/>
            <w:tcBorders/>
            <w:shd w:fill="F9F9F9" w:val="clear"/>
            <w:tcMar>
              <w:top w:w="0" w:type="dxa"/>
              <w:left w:w="0" w:type="dxa"/>
              <w:bottom w:w="0" w:type="dxa"/>
              <w:right w:w="0" w:type="dxa"/>
            </w:tcMar>
            <w:vAlign w:val="center"/>
          </w:tcPr>
          <w:p>
            <w:pPr>
              <w:pStyle w:val="TableContents"/>
              <w:bidi w:val="0"/>
              <w:spacing w:lineRule="auto" w:line="240" w:before="0" w:after="0"/>
              <w:jc w:val="left"/>
              <w:rPr/>
            </w:pPr>
            <w:hyperlink w:anchor="i004be9cfd92c48c78448e0b03d16957e_13">
              <w:r>
                <w:rPr>
                  <w:rStyle w:val="InternetLink"/>
                  <w:rFonts w:ascii="Times New Roman;serif" w:hAnsi="Times New Roman;serif"/>
                  <w:b w:val="false"/>
                  <w:color w:val="0000FF"/>
                  <w:sz w:val="20"/>
                  <w:u w:val="single"/>
                </w:rPr>
                <w:t>Financial Statements (Unaudited)</w:t>
              </w:r>
            </w:hyperlink>
          </w:p>
        </w:tc>
        <w:tc>
          <w:tcPr>
            <w:tcW w:w="645" w:type="dxa"/>
            <w:gridSpan w:val="3"/>
            <w:tcBorders/>
            <w:shd w:fill="F9F9F9" w:val="clear"/>
            <w:tcMar>
              <w:top w:w="0" w:type="dxa"/>
              <w:left w:w="0" w:type="dxa"/>
              <w:bottom w:w="0" w:type="dxa"/>
              <w:right w:w="0" w:type="dxa"/>
            </w:tcMar>
            <w:vAlign w:val="center"/>
          </w:tcPr>
          <w:p>
            <w:pPr>
              <w:pStyle w:val="TableContents"/>
              <w:bidi w:val="0"/>
              <w:spacing w:lineRule="auto" w:line="240" w:before="0" w:after="0"/>
              <w:jc w:val="center"/>
              <w:rPr/>
            </w:pPr>
            <w:hyperlink w:anchor="i004be9cfd92c48c78448e0b03d16957e_13">
              <w:r>
                <w:rPr>
                  <w:rStyle w:val="InternetLink"/>
                  <w:rFonts w:ascii="Times New Roman;serif" w:hAnsi="Times New Roman;serif"/>
                  <w:b w:val="false"/>
                  <w:color w:val="0000FF"/>
                  <w:sz w:val="20"/>
                  <w:u w:val="single"/>
                </w:rPr>
                <w:t>2</w:t>
              </w:r>
            </w:hyperlink>
          </w:p>
        </w:tc>
      </w:tr>
      <w:tr>
        <w:trPr/>
        <w:tc>
          <w:tcPr>
            <w:tcW w:w="1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04be9cfd92c48c78448e0b03d16957e_16">
              <w:r>
                <w:rPr>
                  <w:rStyle w:val="InternetLink"/>
                  <w:rFonts w:ascii="Times New Roman;serif" w:hAnsi="Times New Roman;serif"/>
                  <w:b w:val="false"/>
                  <w:color w:val="0000FF"/>
                  <w:sz w:val="20"/>
                  <w:u w:val="single"/>
                </w:rPr>
                <w:t>Condensed Consolidated Balance Sheets</w:t>
              </w:r>
            </w:hyperlink>
          </w:p>
        </w:tc>
        <w:tc>
          <w:tcPr>
            <w:tcW w:w="6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004be9cfd92c48c78448e0b03d16957e_16">
              <w:r>
                <w:rPr>
                  <w:rStyle w:val="InternetLink"/>
                  <w:rFonts w:ascii="Times New Roman;serif" w:hAnsi="Times New Roman;serif"/>
                  <w:b w:val="false"/>
                  <w:color w:val="0000FF"/>
                  <w:sz w:val="20"/>
                  <w:u w:val="single"/>
                </w:rPr>
                <w:t>2</w:t>
              </w:r>
            </w:hyperlink>
          </w:p>
        </w:tc>
      </w:tr>
      <w:tr>
        <w:trPr/>
        <w:tc>
          <w:tcPr>
            <w:tcW w:w="1734" w:type="dxa"/>
            <w:gridSpan w:val="3"/>
            <w:tcBorders/>
            <w:shd w:fill="F9F9F9"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shd w:fill="F9F9F9" w:val="clear"/>
            <w:tcMar>
              <w:top w:w="0" w:type="dxa"/>
              <w:left w:w="0" w:type="dxa"/>
              <w:bottom w:w="0" w:type="dxa"/>
              <w:right w:w="0" w:type="dxa"/>
            </w:tcMar>
            <w:vAlign w:val="center"/>
          </w:tcPr>
          <w:p>
            <w:pPr>
              <w:pStyle w:val="TableContents"/>
              <w:bidi w:val="0"/>
              <w:spacing w:lineRule="auto" w:line="240" w:before="0" w:after="0"/>
              <w:jc w:val="left"/>
              <w:rPr/>
            </w:pPr>
            <w:hyperlink w:anchor="i004be9cfd92c48c78448e0b03d16957e_19">
              <w:r>
                <w:rPr>
                  <w:rStyle w:val="InternetLink"/>
                  <w:rFonts w:ascii="Times New Roman;serif" w:hAnsi="Times New Roman;serif"/>
                  <w:b w:val="false"/>
                  <w:color w:val="0000FF"/>
                  <w:sz w:val="20"/>
                  <w:u w:val="single"/>
                </w:rPr>
                <w:t>Condensed Consolidated Statements of Operations</w:t>
              </w:r>
            </w:hyperlink>
          </w:p>
        </w:tc>
        <w:tc>
          <w:tcPr>
            <w:tcW w:w="645" w:type="dxa"/>
            <w:gridSpan w:val="3"/>
            <w:tcBorders/>
            <w:shd w:fill="F9F9F9" w:val="clear"/>
            <w:tcMar>
              <w:top w:w="0" w:type="dxa"/>
              <w:left w:w="0" w:type="dxa"/>
              <w:bottom w:w="0" w:type="dxa"/>
              <w:right w:w="0" w:type="dxa"/>
            </w:tcMar>
            <w:vAlign w:val="center"/>
          </w:tcPr>
          <w:p>
            <w:pPr>
              <w:pStyle w:val="TableContents"/>
              <w:bidi w:val="0"/>
              <w:spacing w:lineRule="auto" w:line="240" w:before="0" w:after="0"/>
              <w:jc w:val="center"/>
              <w:rPr/>
            </w:pPr>
            <w:hyperlink w:anchor="i004be9cfd92c48c78448e0b03d16957e_19">
              <w:r>
                <w:rPr>
                  <w:rStyle w:val="InternetLink"/>
                  <w:rFonts w:ascii="Times New Roman;serif" w:hAnsi="Times New Roman;serif"/>
                  <w:b w:val="false"/>
                  <w:color w:val="0000FF"/>
                  <w:sz w:val="20"/>
                  <w:u w:val="single"/>
                </w:rPr>
                <w:t>3</w:t>
              </w:r>
            </w:hyperlink>
          </w:p>
        </w:tc>
      </w:tr>
      <w:tr>
        <w:trPr/>
        <w:tc>
          <w:tcPr>
            <w:tcW w:w="1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04be9cfd92c48c78448e0b03d16957e_22">
              <w:r>
                <w:rPr>
                  <w:rStyle w:val="InternetLink"/>
                  <w:rFonts w:ascii="Times New Roman;serif" w:hAnsi="Times New Roman;serif"/>
                  <w:b w:val="false"/>
                  <w:color w:val="000080"/>
                  <w:sz w:val="20"/>
                  <w:u w:val="single"/>
                </w:rPr>
                <w:t>Condensed Consolidated Statements of Comprehensive</w:t>
              </w:r>
            </w:hyperlink>
            <w:hyperlink w:anchor="i004be9cfd92c48c78448e0b03d16957e_22">
              <w:r>
                <w:rPr>
                  <w:rStyle w:val="InternetLink"/>
                  <w:rFonts w:ascii="Times New Roman;serif" w:hAnsi="Times New Roman;serif"/>
                  <w:b w:val="false"/>
                  <w:color w:val="000080"/>
                  <w:sz w:val="20"/>
                  <w:u w:val="single"/>
                </w:rPr>
                <w:t xml:space="preserve"> Income</w:t>
              </w:r>
            </w:hyperlink>
            <w:hyperlink w:anchor="i004be9cfd92c48c78448e0b03d16957e_22">
              <w:r>
                <w:rPr>
                  <w:rStyle w:val="InternetLink"/>
                  <w:rFonts w:ascii="Times New Roman;serif" w:hAnsi="Times New Roman;serif"/>
                  <w:b w:val="false"/>
                  <w:color w:val="000080"/>
                  <w:sz w:val="20"/>
                  <w:u w:val="single"/>
                </w:rPr>
                <w:t xml:space="preserve"> (Loss)</w:t>
              </w:r>
            </w:hyperlink>
          </w:p>
        </w:tc>
        <w:tc>
          <w:tcPr>
            <w:tcW w:w="6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004be9cfd92c48c78448e0b03d16957e_22">
              <w:r>
                <w:rPr>
                  <w:rStyle w:val="InternetLink"/>
                  <w:rFonts w:ascii="Times New Roman;serif" w:hAnsi="Times New Roman;serif"/>
                  <w:b w:val="false"/>
                  <w:color w:val="0000FF"/>
                  <w:sz w:val="20"/>
                  <w:u w:val="single"/>
                </w:rPr>
                <w:t>4</w:t>
              </w:r>
            </w:hyperlink>
          </w:p>
        </w:tc>
      </w:tr>
      <w:tr>
        <w:trPr/>
        <w:tc>
          <w:tcPr>
            <w:tcW w:w="1734" w:type="dxa"/>
            <w:gridSpan w:val="3"/>
            <w:tcBorders/>
            <w:shd w:fill="F9F9F9"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shd w:fill="F9F9F9" w:val="clear"/>
            <w:tcMar>
              <w:top w:w="0" w:type="dxa"/>
              <w:left w:w="0" w:type="dxa"/>
              <w:bottom w:w="0" w:type="dxa"/>
              <w:right w:w="0" w:type="dxa"/>
            </w:tcMar>
            <w:vAlign w:val="center"/>
          </w:tcPr>
          <w:p>
            <w:pPr>
              <w:pStyle w:val="TableContents"/>
              <w:bidi w:val="0"/>
              <w:spacing w:lineRule="auto" w:line="240" w:before="0" w:after="0"/>
              <w:jc w:val="left"/>
              <w:rPr/>
            </w:pPr>
            <w:hyperlink w:anchor="i004be9cfd92c48c78448e0b03d16957e_25">
              <w:r>
                <w:rPr>
                  <w:rStyle w:val="InternetLink"/>
                  <w:rFonts w:ascii="Times New Roman;serif" w:hAnsi="Times New Roman;serif"/>
                  <w:b w:val="false"/>
                  <w:color w:val="0000FF"/>
                  <w:sz w:val="20"/>
                  <w:u w:val="single"/>
                </w:rPr>
                <w:t>Condensed Consolidated Statements of Stockholders’ Equity</w:t>
              </w:r>
            </w:hyperlink>
          </w:p>
        </w:tc>
        <w:tc>
          <w:tcPr>
            <w:tcW w:w="645" w:type="dxa"/>
            <w:gridSpan w:val="3"/>
            <w:tcBorders/>
            <w:shd w:fill="F9F9F9" w:val="clear"/>
            <w:tcMar>
              <w:top w:w="0" w:type="dxa"/>
              <w:left w:w="0" w:type="dxa"/>
              <w:bottom w:w="0" w:type="dxa"/>
              <w:right w:w="0" w:type="dxa"/>
            </w:tcMar>
            <w:vAlign w:val="center"/>
          </w:tcPr>
          <w:p>
            <w:pPr>
              <w:pStyle w:val="TableContents"/>
              <w:bidi w:val="0"/>
              <w:spacing w:lineRule="auto" w:line="240" w:before="0" w:after="0"/>
              <w:jc w:val="center"/>
              <w:rPr/>
            </w:pPr>
            <w:hyperlink w:anchor="i004be9cfd92c48c78448e0b03d16957e_25">
              <w:r>
                <w:rPr>
                  <w:rStyle w:val="InternetLink"/>
                  <w:rFonts w:ascii="Times New Roman;serif" w:hAnsi="Times New Roman;serif"/>
                  <w:b w:val="false"/>
                  <w:color w:val="0000FF"/>
                  <w:sz w:val="20"/>
                  <w:u w:val="single"/>
                </w:rPr>
                <w:t>5</w:t>
              </w:r>
            </w:hyperlink>
          </w:p>
        </w:tc>
      </w:tr>
      <w:tr>
        <w:trPr/>
        <w:tc>
          <w:tcPr>
            <w:tcW w:w="1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04be9cfd92c48c78448e0b03d16957e_31">
              <w:r>
                <w:rPr>
                  <w:rStyle w:val="InternetLink"/>
                  <w:rFonts w:ascii="Times New Roman;serif" w:hAnsi="Times New Roman;serif"/>
                  <w:b w:val="false"/>
                  <w:color w:val="0000FF"/>
                  <w:sz w:val="20"/>
                  <w:u w:val="single"/>
                </w:rPr>
                <w:t>Condensed Consolidated Statements of Cash Flows</w:t>
              </w:r>
            </w:hyperlink>
          </w:p>
        </w:tc>
        <w:tc>
          <w:tcPr>
            <w:tcW w:w="6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004be9cfd92c48c78448e0b03d16957e_31">
              <w:r>
                <w:rPr>
                  <w:rStyle w:val="InternetLink"/>
                  <w:rFonts w:ascii="Times New Roman;serif" w:hAnsi="Times New Roman;serif"/>
                  <w:b w:val="false"/>
                  <w:color w:val="0000FF"/>
                  <w:sz w:val="20"/>
                  <w:u w:val="single"/>
                </w:rPr>
                <w:t>7</w:t>
              </w:r>
            </w:hyperlink>
          </w:p>
        </w:tc>
      </w:tr>
      <w:tr>
        <w:trPr/>
        <w:tc>
          <w:tcPr>
            <w:tcW w:w="1734" w:type="dxa"/>
            <w:gridSpan w:val="3"/>
            <w:tcBorders/>
            <w:shd w:fill="F9F9F9"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shd w:fill="F9F9F9" w:val="clear"/>
            <w:tcMar>
              <w:top w:w="0" w:type="dxa"/>
              <w:left w:w="0" w:type="dxa"/>
              <w:bottom w:w="0" w:type="dxa"/>
              <w:right w:w="0" w:type="dxa"/>
            </w:tcMar>
            <w:vAlign w:val="center"/>
          </w:tcPr>
          <w:p>
            <w:pPr>
              <w:pStyle w:val="TableContents"/>
              <w:bidi w:val="0"/>
              <w:spacing w:lineRule="auto" w:line="240" w:before="0" w:after="0"/>
              <w:jc w:val="left"/>
              <w:rPr/>
            </w:pPr>
            <w:hyperlink w:anchor="i004be9cfd92c48c78448e0b03d16957e_34">
              <w:r>
                <w:rPr>
                  <w:rStyle w:val="InternetLink"/>
                  <w:rFonts w:ascii="Times New Roman;serif" w:hAnsi="Times New Roman;serif"/>
                  <w:b w:val="false"/>
                  <w:color w:val="0000FF"/>
                  <w:sz w:val="20"/>
                  <w:u w:val="single"/>
                </w:rPr>
                <w:t>Notes to Condensed Consolidated Financial Statements</w:t>
              </w:r>
            </w:hyperlink>
          </w:p>
        </w:tc>
        <w:tc>
          <w:tcPr>
            <w:tcW w:w="645" w:type="dxa"/>
            <w:gridSpan w:val="3"/>
            <w:tcBorders/>
            <w:shd w:fill="F9F9F9" w:val="clear"/>
            <w:tcMar>
              <w:top w:w="0" w:type="dxa"/>
              <w:left w:w="0" w:type="dxa"/>
              <w:bottom w:w="0" w:type="dxa"/>
              <w:right w:w="0" w:type="dxa"/>
            </w:tcMar>
            <w:vAlign w:val="center"/>
          </w:tcPr>
          <w:p>
            <w:pPr>
              <w:pStyle w:val="TableContents"/>
              <w:bidi w:val="0"/>
              <w:spacing w:lineRule="auto" w:line="240" w:before="0" w:after="0"/>
              <w:jc w:val="center"/>
              <w:rPr/>
            </w:pPr>
            <w:hyperlink w:anchor="i004be9cfd92c48c78448e0b03d16957e_34">
              <w:r>
                <w:rPr>
                  <w:rStyle w:val="InternetLink"/>
                  <w:rFonts w:ascii="Times New Roman;serif" w:hAnsi="Times New Roman;serif"/>
                  <w:b w:val="false"/>
                  <w:color w:val="0000FF"/>
                  <w:sz w:val="20"/>
                  <w:u w:val="single"/>
                </w:rPr>
                <w:t>9</w:t>
              </w:r>
            </w:hyperlink>
          </w:p>
        </w:tc>
      </w:tr>
      <w:tr>
        <w:trPr/>
        <w:tc>
          <w:tcPr>
            <w:tcW w:w="17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04be9cfd92c48c78448e0b03d16957e_109">
              <w:r>
                <w:rPr>
                  <w:rStyle w:val="InternetLink"/>
                  <w:rFonts w:ascii="Times New Roman;serif" w:hAnsi="Times New Roman;serif"/>
                  <w:b w:val="false"/>
                  <w:color w:val="0000FF"/>
                  <w:sz w:val="20"/>
                  <w:u w:val="single"/>
                </w:rPr>
                <w:t>Item 2.</w:t>
              </w:r>
            </w:hyperlink>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04be9cfd92c48c78448e0b03d16957e_109">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6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004be9cfd92c48c78448e0b03d16957e_109">
              <w:r>
                <w:rPr>
                  <w:rStyle w:val="InternetLink"/>
                  <w:rFonts w:ascii="Times New Roman;serif" w:hAnsi="Times New Roman;serif"/>
                  <w:b w:val="false"/>
                  <w:color w:val="0000FF"/>
                  <w:sz w:val="20"/>
                  <w:u w:val="single"/>
                </w:rPr>
                <w:t>37</w:t>
              </w:r>
            </w:hyperlink>
          </w:p>
        </w:tc>
      </w:tr>
      <w:tr>
        <w:trPr/>
        <w:tc>
          <w:tcPr>
            <w:tcW w:w="1734" w:type="dxa"/>
            <w:gridSpan w:val="3"/>
            <w:tcBorders/>
            <w:shd w:fill="F9F9F9" w:val="clear"/>
            <w:tcMar>
              <w:top w:w="0" w:type="dxa"/>
              <w:left w:w="0" w:type="dxa"/>
              <w:bottom w:w="0" w:type="dxa"/>
              <w:right w:w="0" w:type="dxa"/>
            </w:tcMar>
            <w:vAlign w:val="center"/>
          </w:tcPr>
          <w:p>
            <w:pPr>
              <w:pStyle w:val="TableContents"/>
              <w:bidi w:val="0"/>
              <w:spacing w:lineRule="auto" w:line="240" w:before="0" w:after="0"/>
              <w:jc w:val="left"/>
              <w:rPr/>
            </w:pPr>
            <w:hyperlink w:anchor="i004be9cfd92c48c78448e0b03d16957e_133">
              <w:r>
                <w:rPr>
                  <w:rStyle w:val="InternetLink"/>
                  <w:rFonts w:ascii="Times New Roman;serif" w:hAnsi="Times New Roman;serif"/>
                  <w:b w:val="false"/>
                  <w:color w:val="0000FF"/>
                  <w:sz w:val="20"/>
                  <w:u w:val="single"/>
                </w:rPr>
                <w:t>Item 3.</w:t>
              </w:r>
            </w:hyperlink>
          </w:p>
        </w:tc>
        <w:tc>
          <w:tcPr>
            <w:tcW w:w="7365" w:type="dxa"/>
            <w:gridSpan w:val="3"/>
            <w:tcBorders/>
            <w:shd w:fill="F9F9F9" w:val="clear"/>
            <w:tcMar>
              <w:top w:w="0" w:type="dxa"/>
              <w:left w:w="0" w:type="dxa"/>
              <w:bottom w:w="0" w:type="dxa"/>
              <w:right w:w="0" w:type="dxa"/>
            </w:tcMar>
            <w:vAlign w:val="center"/>
          </w:tcPr>
          <w:p>
            <w:pPr>
              <w:pStyle w:val="TableContents"/>
              <w:bidi w:val="0"/>
              <w:spacing w:lineRule="auto" w:line="240" w:before="0" w:after="0"/>
              <w:jc w:val="left"/>
              <w:rPr/>
            </w:pPr>
            <w:hyperlink w:anchor="i004be9cfd92c48c78448e0b03d16957e_133">
              <w:r>
                <w:rPr>
                  <w:rStyle w:val="InternetLink"/>
                  <w:rFonts w:ascii="Times New Roman;serif" w:hAnsi="Times New Roman;serif"/>
                  <w:b w:val="false"/>
                  <w:color w:val="0000FF"/>
                  <w:sz w:val="20"/>
                  <w:u w:val="single"/>
                </w:rPr>
                <w:t>Quantitative and Qualitative Disclosures About Market Risk</w:t>
              </w:r>
            </w:hyperlink>
          </w:p>
        </w:tc>
        <w:tc>
          <w:tcPr>
            <w:tcW w:w="645" w:type="dxa"/>
            <w:gridSpan w:val="3"/>
            <w:tcBorders/>
            <w:shd w:fill="F9F9F9" w:val="clear"/>
            <w:tcMar>
              <w:top w:w="0" w:type="dxa"/>
              <w:left w:w="0" w:type="dxa"/>
              <w:bottom w:w="0" w:type="dxa"/>
              <w:right w:w="0" w:type="dxa"/>
            </w:tcMar>
            <w:vAlign w:val="center"/>
          </w:tcPr>
          <w:p>
            <w:pPr>
              <w:pStyle w:val="TableContents"/>
              <w:bidi w:val="0"/>
              <w:spacing w:lineRule="auto" w:line="240" w:before="0" w:after="0"/>
              <w:jc w:val="center"/>
              <w:rPr/>
            </w:pPr>
            <w:hyperlink w:anchor="i004be9cfd92c48c78448e0b03d16957e_133">
              <w:r>
                <w:rPr>
                  <w:rStyle w:val="InternetLink"/>
                  <w:rFonts w:ascii="Times New Roman;serif" w:hAnsi="Times New Roman;serif"/>
                  <w:b w:val="false"/>
                  <w:color w:val="0000FF"/>
                  <w:sz w:val="20"/>
                  <w:u w:val="single"/>
                </w:rPr>
                <w:t>56</w:t>
              </w:r>
            </w:hyperlink>
          </w:p>
        </w:tc>
      </w:tr>
      <w:tr>
        <w:trPr/>
        <w:tc>
          <w:tcPr>
            <w:tcW w:w="17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04be9cfd92c48c78448e0b03d16957e_136">
              <w:r>
                <w:rPr>
                  <w:rStyle w:val="InternetLink"/>
                  <w:rFonts w:ascii="Times New Roman;serif" w:hAnsi="Times New Roman;serif"/>
                  <w:b w:val="false"/>
                  <w:color w:val="0000FF"/>
                  <w:sz w:val="20"/>
                  <w:u w:val="single"/>
                </w:rPr>
                <w:t>Item 4.</w:t>
              </w:r>
            </w:hyperlink>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04be9cfd92c48c78448e0b03d16957e_136">
              <w:r>
                <w:rPr>
                  <w:rStyle w:val="InternetLink"/>
                  <w:rFonts w:ascii="Times New Roman;serif" w:hAnsi="Times New Roman;serif"/>
                  <w:b w:val="false"/>
                  <w:color w:val="0000FF"/>
                  <w:sz w:val="20"/>
                  <w:u w:val="single"/>
                </w:rPr>
                <w:t>Controls and Procedures</w:t>
              </w:r>
            </w:hyperlink>
          </w:p>
        </w:tc>
        <w:tc>
          <w:tcPr>
            <w:tcW w:w="6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004be9cfd92c48c78448e0b03d16957e_136">
              <w:r>
                <w:rPr>
                  <w:rStyle w:val="InternetLink"/>
                  <w:rFonts w:ascii="Times New Roman;serif" w:hAnsi="Times New Roman;serif"/>
                  <w:b w:val="false"/>
                  <w:color w:val="0000FF"/>
                  <w:sz w:val="20"/>
                  <w:u w:val="single"/>
                </w:rPr>
                <w:t>57</w:t>
              </w:r>
            </w:hyperlink>
          </w:p>
        </w:tc>
      </w:tr>
      <w:tr>
        <w:trPr/>
        <w:tc>
          <w:tcPr>
            <w:tcW w:w="1734" w:type="dxa"/>
            <w:gridSpan w:val="3"/>
            <w:tcBorders/>
            <w:shd w:fill="F9F9F9"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shd w:fill="F9F9F9"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45" w:type="dxa"/>
            <w:gridSpan w:val="3"/>
            <w:tcBorders/>
            <w:shd w:fill="F9F9F9"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9099"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004be9cfd92c48c78448e0b03d16957e_139">
              <w:r>
                <w:rPr>
                  <w:rStyle w:val="InternetLink"/>
                  <w:rFonts w:ascii="Times New Roman;serif" w:hAnsi="Times New Roman;serif"/>
                  <w:b/>
                  <w:color w:val="0000FF"/>
                  <w:sz w:val="20"/>
                  <w:u w:val="single"/>
                </w:rPr>
                <w:t>PART II. OTHER INFORMATION</w:t>
              </w:r>
            </w:hyperlink>
          </w:p>
        </w:tc>
        <w:tc>
          <w:tcPr>
            <w:tcW w:w="6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004be9cfd92c48c78448e0b03d16957e_139">
              <w:r>
                <w:rPr>
                  <w:rStyle w:val="InternetLink"/>
                  <w:rFonts w:ascii="Times New Roman;serif" w:hAnsi="Times New Roman;serif"/>
                  <w:b w:val="false"/>
                  <w:color w:val="0000FF"/>
                  <w:sz w:val="20"/>
                  <w:u w:val="single"/>
                </w:rPr>
                <w:t>57</w:t>
              </w:r>
            </w:hyperlink>
          </w:p>
        </w:tc>
      </w:tr>
      <w:tr>
        <w:trPr/>
        <w:tc>
          <w:tcPr>
            <w:tcW w:w="1734" w:type="dxa"/>
            <w:gridSpan w:val="3"/>
            <w:tcBorders/>
            <w:shd w:fill="F9F9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9F9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F9F9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04be9cfd92c48c78448e0b03d16957e_142">
              <w:r>
                <w:rPr>
                  <w:rStyle w:val="InternetLink"/>
                  <w:rFonts w:ascii="Times New Roman;serif" w:hAnsi="Times New Roman;serif"/>
                  <w:b w:val="false"/>
                  <w:color w:val="0000FF"/>
                  <w:sz w:val="20"/>
                  <w:u w:val="single"/>
                </w:rPr>
                <w:t>Item 1.</w:t>
              </w:r>
            </w:hyperlink>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04be9cfd92c48c78448e0b03d16957e_142">
              <w:r>
                <w:rPr>
                  <w:rStyle w:val="InternetLink"/>
                  <w:rFonts w:ascii="Times New Roman;serif" w:hAnsi="Times New Roman;serif"/>
                  <w:b w:val="false"/>
                  <w:color w:val="0000FF"/>
                  <w:sz w:val="20"/>
                  <w:u w:val="single"/>
                </w:rPr>
                <w:t>Legal Proceedings</w:t>
              </w:r>
            </w:hyperlink>
          </w:p>
        </w:tc>
        <w:tc>
          <w:tcPr>
            <w:tcW w:w="6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004be9cfd92c48c78448e0b03d16957e_142">
              <w:r>
                <w:rPr>
                  <w:rStyle w:val="InternetLink"/>
                  <w:rFonts w:ascii="Times New Roman;serif" w:hAnsi="Times New Roman;serif"/>
                  <w:b w:val="false"/>
                  <w:color w:val="0000FF"/>
                  <w:sz w:val="20"/>
                  <w:u w:val="single"/>
                </w:rPr>
                <w:t>58</w:t>
              </w:r>
            </w:hyperlink>
          </w:p>
        </w:tc>
      </w:tr>
      <w:tr>
        <w:trPr/>
        <w:tc>
          <w:tcPr>
            <w:tcW w:w="1734" w:type="dxa"/>
            <w:gridSpan w:val="3"/>
            <w:tcBorders/>
            <w:shd w:fill="F9F9F9" w:val="clear"/>
            <w:tcMar>
              <w:top w:w="0" w:type="dxa"/>
              <w:left w:w="0" w:type="dxa"/>
              <w:bottom w:w="0" w:type="dxa"/>
              <w:right w:w="0" w:type="dxa"/>
            </w:tcMar>
            <w:vAlign w:val="center"/>
          </w:tcPr>
          <w:p>
            <w:pPr>
              <w:pStyle w:val="TableContents"/>
              <w:bidi w:val="0"/>
              <w:spacing w:lineRule="auto" w:line="240" w:before="0" w:after="0"/>
              <w:jc w:val="left"/>
              <w:rPr/>
            </w:pPr>
            <w:hyperlink w:anchor="i004be9cfd92c48c78448e0b03d16957e_145">
              <w:r>
                <w:rPr>
                  <w:rStyle w:val="InternetLink"/>
                  <w:rFonts w:ascii="Times New Roman;serif" w:hAnsi="Times New Roman;serif"/>
                  <w:b w:val="false"/>
                  <w:color w:val="0000FF"/>
                  <w:sz w:val="20"/>
                  <w:u w:val="single"/>
                </w:rPr>
                <w:t>Item 1A.</w:t>
              </w:r>
            </w:hyperlink>
          </w:p>
        </w:tc>
        <w:tc>
          <w:tcPr>
            <w:tcW w:w="7365" w:type="dxa"/>
            <w:gridSpan w:val="3"/>
            <w:tcBorders/>
            <w:shd w:fill="F9F9F9" w:val="clear"/>
            <w:tcMar>
              <w:top w:w="0" w:type="dxa"/>
              <w:left w:w="0" w:type="dxa"/>
              <w:bottom w:w="0" w:type="dxa"/>
              <w:right w:w="0" w:type="dxa"/>
            </w:tcMar>
            <w:vAlign w:val="center"/>
          </w:tcPr>
          <w:p>
            <w:pPr>
              <w:pStyle w:val="TableContents"/>
              <w:bidi w:val="0"/>
              <w:spacing w:lineRule="auto" w:line="240" w:before="0" w:after="0"/>
              <w:jc w:val="left"/>
              <w:rPr/>
            </w:pPr>
            <w:hyperlink w:anchor="i004be9cfd92c48c78448e0b03d16957e_145">
              <w:r>
                <w:rPr>
                  <w:rStyle w:val="InternetLink"/>
                  <w:rFonts w:ascii="Times New Roman;serif" w:hAnsi="Times New Roman;serif"/>
                  <w:b w:val="false"/>
                  <w:color w:val="0000FF"/>
                  <w:sz w:val="20"/>
                  <w:u w:val="single"/>
                </w:rPr>
                <w:t>Risk Factors</w:t>
              </w:r>
            </w:hyperlink>
          </w:p>
        </w:tc>
        <w:tc>
          <w:tcPr>
            <w:tcW w:w="645" w:type="dxa"/>
            <w:gridSpan w:val="3"/>
            <w:tcBorders/>
            <w:shd w:fill="F9F9F9" w:val="clear"/>
            <w:tcMar>
              <w:top w:w="0" w:type="dxa"/>
              <w:left w:w="0" w:type="dxa"/>
              <w:bottom w:w="0" w:type="dxa"/>
              <w:right w:w="0" w:type="dxa"/>
            </w:tcMar>
            <w:vAlign w:val="center"/>
          </w:tcPr>
          <w:p>
            <w:pPr>
              <w:pStyle w:val="TableContents"/>
              <w:bidi w:val="0"/>
              <w:spacing w:lineRule="auto" w:line="240" w:before="0" w:after="0"/>
              <w:jc w:val="center"/>
              <w:rPr/>
            </w:pPr>
            <w:hyperlink w:anchor="i004be9cfd92c48c78448e0b03d16957e_145">
              <w:r>
                <w:rPr>
                  <w:rStyle w:val="InternetLink"/>
                  <w:rFonts w:ascii="Times New Roman;serif" w:hAnsi="Times New Roman;serif"/>
                  <w:b w:val="false"/>
                  <w:color w:val="0000FF"/>
                  <w:sz w:val="20"/>
                  <w:u w:val="single"/>
                </w:rPr>
                <w:t>58</w:t>
              </w:r>
            </w:hyperlink>
          </w:p>
        </w:tc>
      </w:tr>
      <w:tr>
        <w:trPr/>
        <w:tc>
          <w:tcPr>
            <w:tcW w:w="17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04be9cfd92c48c78448e0b03d16957e_148">
              <w:r>
                <w:rPr>
                  <w:rStyle w:val="InternetLink"/>
                  <w:rFonts w:ascii="Times New Roman;serif" w:hAnsi="Times New Roman;serif"/>
                  <w:b w:val="false"/>
                  <w:color w:val="0000FF"/>
                  <w:sz w:val="20"/>
                  <w:u w:val="single"/>
                </w:rPr>
                <w:t>Item 2.</w:t>
              </w:r>
            </w:hyperlink>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04be9cfd92c48c78448e0b03d16957e_148">
              <w:r>
                <w:rPr>
                  <w:rStyle w:val="InternetLink"/>
                  <w:rFonts w:ascii="Times New Roman;serif" w:hAnsi="Times New Roman;serif"/>
                  <w:b w:val="false"/>
                  <w:color w:val="0000FF"/>
                  <w:sz w:val="20"/>
                  <w:u w:val="single"/>
                </w:rPr>
                <w:t>Unregistered Sales of Equity Securities and Use of Proceeds</w:t>
              </w:r>
            </w:hyperlink>
          </w:p>
        </w:tc>
        <w:tc>
          <w:tcPr>
            <w:tcW w:w="6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004be9cfd92c48c78448e0b03d16957e_148">
              <w:r>
                <w:rPr>
                  <w:rStyle w:val="InternetLink"/>
                  <w:rFonts w:ascii="Times New Roman;serif" w:hAnsi="Times New Roman;serif"/>
                  <w:b w:val="false"/>
                  <w:color w:val="0000FF"/>
                  <w:sz w:val="20"/>
                  <w:u w:val="single"/>
                </w:rPr>
                <w:t>59</w:t>
              </w:r>
            </w:hyperlink>
          </w:p>
        </w:tc>
      </w:tr>
      <w:tr>
        <w:trPr/>
        <w:tc>
          <w:tcPr>
            <w:tcW w:w="1734" w:type="dxa"/>
            <w:gridSpan w:val="3"/>
            <w:tcBorders/>
            <w:shd w:fill="F9F9F9" w:val="clear"/>
            <w:tcMar>
              <w:top w:w="0" w:type="dxa"/>
              <w:left w:w="0" w:type="dxa"/>
              <w:bottom w:w="0" w:type="dxa"/>
              <w:right w:w="0" w:type="dxa"/>
            </w:tcMar>
            <w:vAlign w:val="center"/>
          </w:tcPr>
          <w:p>
            <w:pPr>
              <w:pStyle w:val="TableContents"/>
              <w:bidi w:val="0"/>
              <w:spacing w:lineRule="auto" w:line="240" w:before="0" w:after="0"/>
              <w:jc w:val="left"/>
              <w:rPr/>
            </w:pPr>
            <w:hyperlink w:anchor="i004be9cfd92c48c78448e0b03d16957e_154">
              <w:r>
                <w:rPr>
                  <w:rStyle w:val="InternetLink"/>
                  <w:rFonts w:ascii="Times New Roman;serif" w:hAnsi="Times New Roman;serif"/>
                  <w:b w:val="false"/>
                  <w:color w:val="0000FF"/>
                  <w:sz w:val="20"/>
                  <w:u w:val="single"/>
                </w:rPr>
                <w:t>Item 3.</w:t>
              </w:r>
            </w:hyperlink>
          </w:p>
        </w:tc>
        <w:tc>
          <w:tcPr>
            <w:tcW w:w="7365" w:type="dxa"/>
            <w:gridSpan w:val="3"/>
            <w:tcBorders/>
            <w:shd w:fill="F9F9F9" w:val="clear"/>
            <w:tcMar>
              <w:top w:w="0" w:type="dxa"/>
              <w:left w:w="0" w:type="dxa"/>
              <w:bottom w:w="0" w:type="dxa"/>
              <w:right w:w="0" w:type="dxa"/>
            </w:tcMar>
            <w:vAlign w:val="center"/>
          </w:tcPr>
          <w:p>
            <w:pPr>
              <w:pStyle w:val="TableContents"/>
              <w:bidi w:val="0"/>
              <w:spacing w:lineRule="auto" w:line="240" w:before="0" w:after="0"/>
              <w:jc w:val="left"/>
              <w:rPr/>
            </w:pPr>
            <w:hyperlink w:anchor="i004be9cfd92c48c78448e0b03d16957e_154">
              <w:r>
                <w:rPr>
                  <w:rStyle w:val="InternetLink"/>
                  <w:rFonts w:ascii="Times New Roman;serif" w:hAnsi="Times New Roman;serif"/>
                  <w:b w:val="false"/>
                  <w:color w:val="0000FF"/>
                  <w:sz w:val="20"/>
                  <w:u w:val="single"/>
                </w:rPr>
                <w:t>Defaults Upon Senior Securities</w:t>
              </w:r>
            </w:hyperlink>
          </w:p>
        </w:tc>
        <w:tc>
          <w:tcPr>
            <w:tcW w:w="645" w:type="dxa"/>
            <w:gridSpan w:val="3"/>
            <w:tcBorders/>
            <w:shd w:fill="F9F9F9" w:val="clear"/>
            <w:tcMar>
              <w:top w:w="0" w:type="dxa"/>
              <w:left w:w="0" w:type="dxa"/>
              <w:bottom w:w="0" w:type="dxa"/>
              <w:right w:w="0" w:type="dxa"/>
            </w:tcMar>
            <w:vAlign w:val="center"/>
          </w:tcPr>
          <w:p>
            <w:pPr>
              <w:pStyle w:val="TableContents"/>
              <w:bidi w:val="0"/>
              <w:spacing w:lineRule="auto" w:line="240" w:before="0" w:after="0"/>
              <w:jc w:val="center"/>
              <w:rPr/>
            </w:pPr>
            <w:hyperlink w:anchor="i004be9cfd92c48c78448e0b03d16957e_154">
              <w:r>
                <w:rPr>
                  <w:rStyle w:val="InternetLink"/>
                  <w:rFonts w:ascii="Times New Roman;serif" w:hAnsi="Times New Roman;serif"/>
                  <w:b w:val="false"/>
                  <w:color w:val="0000FF"/>
                  <w:sz w:val="20"/>
                  <w:u w:val="single"/>
                </w:rPr>
                <w:t>60</w:t>
              </w:r>
            </w:hyperlink>
          </w:p>
        </w:tc>
      </w:tr>
      <w:tr>
        <w:trPr/>
        <w:tc>
          <w:tcPr>
            <w:tcW w:w="17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04be9cfd92c48c78448e0b03d16957e_157">
              <w:r>
                <w:rPr>
                  <w:rStyle w:val="InternetLink"/>
                  <w:rFonts w:ascii="Times New Roman;serif" w:hAnsi="Times New Roman;serif"/>
                  <w:b w:val="false"/>
                  <w:color w:val="0000FF"/>
                  <w:sz w:val="20"/>
                  <w:u w:val="single"/>
                </w:rPr>
                <w:t>Item 4.</w:t>
              </w:r>
            </w:hyperlink>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04be9cfd92c48c78448e0b03d16957e_157">
              <w:r>
                <w:rPr>
                  <w:rStyle w:val="InternetLink"/>
                  <w:rFonts w:ascii="Times New Roman;serif" w:hAnsi="Times New Roman;serif"/>
                  <w:b w:val="false"/>
                  <w:color w:val="0000FF"/>
                  <w:sz w:val="20"/>
                  <w:u w:val="single"/>
                </w:rPr>
                <w:t>Mine Safety Disclosures</w:t>
              </w:r>
            </w:hyperlink>
          </w:p>
        </w:tc>
        <w:tc>
          <w:tcPr>
            <w:tcW w:w="6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004be9cfd92c48c78448e0b03d16957e_157">
              <w:r>
                <w:rPr>
                  <w:rStyle w:val="InternetLink"/>
                  <w:rFonts w:ascii="Times New Roman;serif" w:hAnsi="Times New Roman;serif"/>
                  <w:b w:val="false"/>
                  <w:color w:val="0000FF"/>
                  <w:sz w:val="20"/>
                  <w:u w:val="single"/>
                </w:rPr>
                <w:t>60</w:t>
              </w:r>
            </w:hyperlink>
          </w:p>
        </w:tc>
      </w:tr>
      <w:tr>
        <w:trPr/>
        <w:tc>
          <w:tcPr>
            <w:tcW w:w="1734" w:type="dxa"/>
            <w:gridSpan w:val="3"/>
            <w:tcBorders/>
            <w:shd w:fill="F9F9F9" w:val="clear"/>
            <w:tcMar>
              <w:top w:w="0" w:type="dxa"/>
              <w:left w:w="0" w:type="dxa"/>
              <w:bottom w:w="0" w:type="dxa"/>
              <w:right w:w="0" w:type="dxa"/>
            </w:tcMar>
            <w:vAlign w:val="center"/>
          </w:tcPr>
          <w:p>
            <w:pPr>
              <w:pStyle w:val="TableContents"/>
              <w:bidi w:val="0"/>
              <w:spacing w:lineRule="auto" w:line="240" w:before="0" w:after="0"/>
              <w:jc w:val="left"/>
              <w:rPr/>
            </w:pPr>
            <w:hyperlink w:anchor="i004be9cfd92c48c78448e0b03d16957e_163">
              <w:r>
                <w:rPr>
                  <w:rStyle w:val="InternetLink"/>
                  <w:rFonts w:ascii="Times New Roman;serif" w:hAnsi="Times New Roman;serif"/>
                  <w:b w:val="false"/>
                  <w:color w:val="0000FF"/>
                  <w:sz w:val="20"/>
                  <w:u w:val="single"/>
                </w:rPr>
                <w:t>Item 5.</w:t>
              </w:r>
            </w:hyperlink>
          </w:p>
        </w:tc>
        <w:tc>
          <w:tcPr>
            <w:tcW w:w="7365" w:type="dxa"/>
            <w:gridSpan w:val="3"/>
            <w:tcBorders/>
            <w:shd w:fill="F9F9F9" w:val="clear"/>
            <w:tcMar>
              <w:top w:w="0" w:type="dxa"/>
              <w:left w:w="0" w:type="dxa"/>
              <w:bottom w:w="0" w:type="dxa"/>
              <w:right w:w="0" w:type="dxa"/>
            </w:tcMar>
            <w:vAlign w:val="center"/>
          </w:tcPr>
          <w:p>
            <w:pPr>
              <w:pStyle w:val="TableContents"/>
              <w:bidi w:val="0"/>
              <w:spacing w:lineRule="auto" w:line="240" w:before="0" w:after="0"/>
              <w:jc w:val="left"/>
              <w:rPr/>
            </w:pPr>
            <w:hyperlink w:anchor="i004be9cfd92c48c78448e0b03d16957e_163">
              <w:r>
                <w:rPr>
                  <w:rStyle w:val="InternetLink"/>
                  <w:rFonts w:ascii="Times New Roman;serif" w:hAnsi="Times New Roman;serif"/>
                  <w:b w:val="false"/>
                  <w:color w:val="0000FF"/>
                  <w:sz w:val="20"/>
                  <w:u w:val="single"/>
                </w:rPr>
                <w:t>Other Information</w:t>
              </w:r>
            </w:hyperlink>
          </w:p>
        </w:tc>
        <w:tc>
          <w:tcPr>
            <w:tcW w:w="645" w:type="dxa"/>
            <w:gridSpan w:val="3"/>
            <w:tcBorders/>
            <w:shd w:fill="F9F9F9" w:val="clear"/>
            <w:tcMar>
              <w:top w:w="0" w:type="dxa"/>
              <w:left w:w="0" w:type="dxa"/>
              <w:bottom w:w="0" w:type="dxa"/>
              <w:right w:w="0" w:type="dxa"/>
            </w:tcMar>
            <w:vAlign w:val="center"/>
          </w:tcPr>
          <w:p>
            <w:pPr>
              <w:pStyle w:val="TableContents"/>
              <w:bidi w:val="0"/>
              <w:spacing w:lineRule="auto" w:line="240" w:before="0" w:after="0"/>
              <w:jc w:val="center"/>
              <w:rPr/>
            </w:pPr>
            <w:hyperlink w:anchor="i004be9cfd92c48c78448e0b03d16957e_163">
              <w:r>
                <w:rPr>
                  <w:rStyle w:val="InternetLink"/>
                  <w:rFonts w:ascii="Times New Roman;serif" w:hAnsi="Times New Roman;serif"/>
                  <w:b w:val="false"/>
                  <w:color w:val="0000FF"/>
                  <w:sz w:val="20"/>
                  <w:u w:val="single"/>
                </w:rPr>
                <w:t>61</w:t>
              </w:r>
            </w:hyperlink>
          </w:p>
        </w:tc>
      </w:tr>
      <w:tr>
        <w:trPr/>
        <w:tc>
          <w:tcPr>
            <w:tcW w:w="17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04be9cfd92c48c78448e0b03d16957e_169">
              <w:r>
                <w:rPr>
                  <w:rStyle w:val="InternetLink"/>
                  <w:rFonts w:ascii="Times New Roman;serif" w:hAnsi="Times New Roman;serif"/>
                  <w:b w:val="false"/>
                  <w:color w:val="0000FF"/>
                  <w:sz w:val="20"/>
                  <w:u w:val="single"/>
                </w:rPr>
                <w:t>Item 6.</w:t>
              </w:r>
            </w:hyperlink>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04be9cfd92c48c78448e0b03d16957e_169">
              <w:r>
                <w:rPr>
                  <w:rStyle w:val="InternetLink"/>
                  <w:rFonts w:ascii="Times New Roman;serif" w:hAnsi="Times New Roman;serif"/>
                  <w:b w:val="false"/>
                  <w:color w:val="0000FF"/>
                  <w:sz w:val="20"/>
                  <w:u w:val="single"/>
                </w:rPr>
                <w:t>Exhibits</w:t>
              </w:r>
            </w:hyperlink>
          </w:p>
        </w:tc>
        <w:tc>
          <w:tcPr>
            <w:tcW w:w="6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004be9cfd92c48c78448e0b03d16957e_169">
              <w:r>
                <w:rPr>
                  <w:rStyle w:val="InternetLink"/>
                  <w:rFonts w:ascii="Times New Roman;serif" w:hAnsi="Times New Roman;serif"/>
                  <w:b w:val="false"/>
                  <w:color w:val="0000FF"/>
                  <w:sz w:val="20"/>
                  <w:u w:val="single"/>
                </w:rPr>
                <w:t>61</w:t>
              </w:r>
            </w:hyperlink>
          </w:p>
        </w:tc>
      </w:tr>
      <w:tr>
        <w:trPr/>
        <w:tc>
          <w:tcPr>
            <w:tcW w:w="1734" w:type="dxa"/>
            <w:gridSpan w:val="3"/>
            <w:tcBorders/>
            <w:shd w:fill="F9F9F9" w:val="clear"/>
            <w:tcMar>
              <w:top w:w="0" w:type="dxa"/>
              <w:left w:w="0" w:type="dxa"/>
              <w:bottom w:w="0" w:type="dxa"/>
              <w:right w:w="0" w:type="dxa"/>
            </w:tcMar>
            <w:vAlign w:val="center"/>
          </w:tcPr>
          <w:p>
            <w:pPr>
              <w:pStyle w:val="TableContents"/>
              <w:bidi w:val="0"/>
              <w:spacing w:lineRule="auto" w:line="240" w:before="0" w:after="0"/>
              <w:jc w:val="left"/>
              <w:rPr/>
            </w:pPr>
            <w:hyperlink w:anchor="i004be9cfd92c48c78448e0b03d16957e_175">
              <w:r>
                <w:rPr>
                  <w:rStyle w:val="InternetLink"/>
                  <w:rFonts w:ascii="Times New Roman;serif" w:hAnsi="Times New Roman;serif"/>
                  <w:b w:val="false"/>
                  <w:color w:val="0000FF"/>
                  <w:sz w:val="20"/>
                  <w:u w:val="single"/>
                </w:rPr>
                <w:t>Signatures</w:t>
              </w:r>
            </w:hyperlink>
          </w:p>
        </w:tc>
        <w:tc>
          <w:tcPr>
            <w:tcW w:w="7365" w:type="dxa"/>
            <w:gridSpan w:val="3"/>
            <w:tcBorders/>
            <w:shd w:fill="F9F9F9"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45" w:type="dxa"/>
            <w:gridSpan w:val="3"/>
            <w:tcBorders/>
            <w:shd w:fill="F9F9F9" w:val="clear"/>
            <w:tcMar>
              <w:top w:w="0" w:type="dxa"/>
              <w:left w:w="0" w:type="dxa"/>
              <w:bottom w:w="0" w:type="dxa"/>
              <w:right w:w="0" w:type="dxa"/>
            </w:tcMar>
            <w:vAlign w:val="center"/>
          </w:tcPr>
          <w:p>
            <w:pPr>
              <w:pStyle w:val="TableContents"/>
              <w:bidi w:val="0"/>
              <w:spacing w:lineRule="auto" w:line="240" w:before="0" w:after="0"/>
              <w:jc w:val="center"/>
              <w:rPr/>
            </w:pPr>
            <w:hyperlink w:anchor="i004be9cfd92c48c78448e0b03d16957e_175">
              <w:r>
                <w:rPr>
                  <w:rStyle w:val="InternetLink"/>
                  <w:rFonts w:ascii="Times New Roman;serif" w:hAnsi="Times New Roman;serif"/>
                  <w:b w:val="false"/>
                  <w:color w:val="0000FF"/>
                  <w:sz w:val="20"/>
                  <w:u w:val="single"/>
                </w:rPr>
                <w:t>63</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Q3 </w:t>
                            </w:r>
                            <w:r>
                              <w:rPr>
                                <w:rFonts w:ascii="Times New Roman;serif" w:hAnsi="Times New Roman;serif"/>
                                <w:b w:val="false"/>
                                <w:color w:val="000000"/>
                                <w:sz w:val="20"/>
                              </w:rPr>
                              <w:t>2025</w:t>
                            </w:r>
                            <w:r>
                              <w:rPr>
                                <w:color w:val="000000"/>
                              </w:rPr>
                              <w:t xml:space="preserve"> </w:t>
                            </w:r>
                            <w:r>
                              <w:rPr>
                                <w:rFonts w:ascii="Times New Roman;serif" w:hAnsi="Times New Roman;serif"/>
                                <w:b w:val="false"/>
                                <w:color w:val="000000"/>
                                <w:sz w:val="19"/>
                              </w:rPr>
                              <w:t>Form 10-Q | 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Q3 </w:t>
                      </w:r>
                      <w:r>
                        <w:rPr>
                          <w:rFonts w:ascii="Times New Roman;serif" w:hAnsi="Times New Roman;serif"/>
                          <w:b w:val="false"/>
                          <w:color w:val="000000"/>
                          <w:sz w:val="20"/>
                        </w:rPr>
                        <w:t>2025</w:t>
                      </w:r>
                      <w:r>
                        <w:rPr>
                          <w:color w:val="000000"/>
                        </w:rPr>
                        <w:t xml:space="preserve"> </w:t>
                      </w:r>
                      <w:r>
                        <w:rPr>
                          <w:rFonts w:ascii="Times New Roman;serif" w:hAnsi="Times New Roman;serif"/>
                          <w:b w:val="false"/>
                          <w:color w:val="000000"/>
                          <w:sz w:val="19"/>
                        </w:rPr>
                        <w:t>Form 10-Q | 1</w:t>
                      </w:r>
                    </w:p>
                  </w:txbxContent>
                </v:textbox>
                <w10:wrap type="none"/>
              </v:rect>
            </w:pict>
          </mc:Fallback>
        </mc:AlternateContent>
      </w:r>
    </w:p>
    <w:p>
      <w:pPr>
        <w:pStyle w:val="TextBody"/>
        <w:bidi w:val="0"/>
        <w:spacing w:lineRule="auto" w:line="288" w:before="0" w:after="0"/>
        <w:jc w:val="left"/>
        <w:rPr/>
      </w:pPr>
      <w:hyperlink w:anchor="i004be9cfd92c48c78448e0b03d16957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rPr>
        <w:t xml:space="preserve">Item 1. </w:t>
      </w:r>
      <w:r>
        <w:rPr>
          <w:rFonts w:ascii="Times New Roman;serif" w:hAnsi="Times New Roman;serif"/>
          <w:b/>
          <w:i/>
          <w:color w:val="000000"/>
          <w:sz w:val="20"/>
        </w:rPr>
        <w:t>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PACIRA BIOSCIENCES, INC.</w:t>
      </w:r>
    </w:p>
    <w:p>
      <w:pPr>
        <w:pStyle w:val="TextBody"/>
        <w:bidi w:val="0"/>
        <w:spacing w:lineRule="auto" w:line="288" w:before="0" w:after="0"/>
        <w:jc w:val="center"/>
        <w:rPr/>
      </w:pPr>
      <w:r>
        <w:rPr>
          <w:rFonts w:ascii="Times New Roman;serif" w:hAnsi="Times New Roman;serif"/>
          <w:b/>
          <w:color w:val="000000"/>
          <w:sz w:val="20"/>
        </w:rPr>
        <w:t>CONDENSED CONSOLIDATED BALANCE SHEETS</w:t>
      </w:r>
      <w:r>
        <w:rPr>
          <w:color w:val="000000"/>
        </w:rPr>
        <w:t xml:space="preserve"> </w:t>
      </w:r>
    </w:p>
    <w:p>
      <w:pPr>
        <w:pStyle w:val="TextBody"/>
        <w:bidi w:val="0"/>
        <w:spacing w:lineRule="auto" w:line="288" w:before="0" w:after="0"/>
        <w:jc w:val="center"/>
        <w:rPr>
          <w:rFonts w:ascii="Times New Roman;serif" w:hAnsi="Times New Roman;serif"/>
          <w:b/>
          <w:color w:val="000000"/>
          <w:sz w:val="19"/>
        </w:rPr>
      </w:pPr>
      <w:r>
        <w:rPr>
          <w:rFonts w:ascii="Times New Roman;serif" w:hAnsi="Times New Roman;serif"/>
          <w:b/>
          <w:color w:val="000000"/>
          <w:sz w:val="19"/>
        </w:rPr>
        <w:t>(In thousands, except share and per share amounts)</w:t>
      </w:r>
    </w:p>
    <w:p>
      <w:pPr>
        <w:pStyle w:val="TextBody"/>
        <w:bidi w:val="0"/>
        <w:spacing w:lineRule="auto" w:line="288" w:before="0" w:after="0"/>
        <w:jc w:val="center"/>
        <w:rPr>
          <w:rFonts w:ascii="Times New Roman;serif" w:hAnsi="Times New Roman;serif"/>
          <w:b/>
          <w:color w:val="000000"/>
          <w:sz w:val="19"/>
        </w:rPr>
      </w:pPr>
      <w:r>
        <w:rPr>
          <w:rFonts w:ascii="Times New Roman;serif" w:hAnsi="Times New Roman;serif"/>
          <w:b/>
          <w:color w:val="000000"/>
          <w:sz w:val="19"/>
        </w:rPr>
        <w:t>(Unaudited)</w:t>
      </w:r>
    </w:p>
    <w:tbl>
      <w:tblPr>
        <w:tblW w:w="10205" w:type="dxa"/>
        <w:jc w:val="center"/>
        <w:tblInd w:w="0" w:type="dxa"/>
        <w:tblLayout w:type="fixed"/>
        <w:tblCellMar>
          <w:top w:w="28" w:type="dxa"/>
          <w:left w:w="28" w:type="dxa"/>
          <w:bottom w:w="28" w:type="dxa"/>
          <w:right w:w="28" w:type="dxa"/>
        </w:tblCellMar>
      </w:tblPr>
      <w:tblGrid>
        <w:gridCol w:w="2997"/>
        <w:gridCol w:w="2141"/>
        <w:gridCol w:w="2101"/>
        <w:gridCol w:w="211"/>
        <w:gridCol w:w="976"/>
        <w:gridCol w:w="109"/>
        <w:gridCol w:w="109"/>
        <w:gridCol w:w="109"/>
        <w:gridCol w:w="109"/>
        <w:gridCol w:w="211"/>
        <w:gridCol w:w="976"/>
        <w:gridCol w:w="156"/>
      </w:tblGrid>
      <w:tr>
        <w:trPr/>
        <w:tc>
          <w:tcPr>
            <w:tcW w:w="2997" w:type="dxa"/>
            <w:tcBorders/>
            <w:vAlign w:val="center"/>
          </w:tcPr>
          <w:p>
            <w:pPr>
              <w:pStyle w:val="TableContents"/>
              <w:bidi w:val="0"/>
              <w:spacing w:before="0" w:after="283"/>
              <w:jc w:val="left"/>
              <w:rPr>
                <w:sz w:val="4"/>
                <w:szCs w:val="4"/>
              </w:rPr>
            </w:pPr>
            <w:r>
              <w:rPr>
                <w:sz w:val="4"/>
                <w:szCs w:val="4"/>
              </w:rPr>
            </w:r>
          </w:p>
        </w:tc>
        <w:tc>
          <w:tcPr>
            <w:tcW w:w="2141" w:type="dxa"/>
            <w:tcBorders/>
            <w:vAlign w:val="center"/>
          </w:tcPr>
          <w:p>
            <w:pPr>
              <w:pStyle w:val="TableContents"/>
              <w:bidi w:val="0"/>
              <w:spacing w:before="0" w:after="283"/>
              <w:jc w:val="left"/>
              <w:rPr>
                <w:sz w:val="4"/>
                <w:szCs w:val="4"/>
              </w:rPr>
            </w:pPr>
            <w:r>
              <w:rPr>
                <w:sz w:val="4"/>
                <w:szCs w:val="4"/>
              </w:rPr>
            </w:r>
          </w:p>
        </w:tc>
        <w:tc>
          <w:tcPr>
            <w:tcW w:w="21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br/>
              <w:t>2024</w:t>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147,589 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276,774 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Short-term available-for-sale investments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98,745 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207,841 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Accounts receivable,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115,268 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113,304 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Inventories,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157,680 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125,282 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Prepaid expenses and other current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21,929 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current assets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562,751 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745,130 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assets,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147,388 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167,169 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49,222 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382,396 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425,970 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120,188 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130,376 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and other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35,649 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1,297,577 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1,553,516 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129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Accounts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19,133 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Accrued expenses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79,643 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80,124 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Lease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8,887 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Current portion of long-term debt,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201,776 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723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723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current liabilities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107,078 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309,920 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376,721 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383,545 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44,645 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consideration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20,241 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16,817 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liabilities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570,363 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775,168 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 (Note 16)</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Preferred stock, par value $0.001; 5,000,000 shares authorized; none issued and outstanding at September 30, 2025 and December 31, 2024</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par value $0.001; 250,000,000 shares authorized; 47,735,248 shares issued and 42,965,902 shares outstanding at September 30, 2025 and 47,077,844 shares issued and 46,240,604 shares outstanding at December 31, 2024</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Treasury stock, at cost, inclusive of excise tax and broker fees, 4,769,346 and 837,240 shares at September 30, 2025 and December 31, 2024, respectively</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(125,543)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(25,121)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Additional paid-in capital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1,049,545 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1,009,435 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Accumulated deficit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(200,959)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(206,356)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Accumulated other comprehensive income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stockholders’ equity</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727,214 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778,348 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liabilities and stockholders’ equity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1,297,577 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1,553,516 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Q3 </w:t>
                            </w:r>
                            <w:r>
                              <w:rPr>
                                <w:rFonts w:ascii="Times New Roman;serif" w:hAnsi="Times New Roman;serif"/>
                                <w:b w:val="false"/>
                                <w:color w:val="000000"/>
                                <w:sz w:val="20"/>
                              </w:rPr>
                              <w:t>2025</w:t>
                            </w:r>
                            <w:r>
                              <w:rPr>
                                <w:color w:val="000000"/>
                              </w:rPr>
                              <w:t xml:space="preserve"> </w:t>
                            </w:r>
                            <w:r>
                              <w:rPr>
                                <w:rFonts w:ascii="Times New Roman;serif" w:hAnsi="Times New Roman;serif"/>
                                <w:b w:val="false"/>
                                <w:color w:val="000000"/>
                                <w:sz w:val="19"/>
                              </w:rPr>
                              <w:t>Form 10-Q | 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Q3 </w:t>
                      </w:r>
                      <w:r>
                        <w:rPr>
                          <w:rFonts w:ascii="Times New Roman;serif" w:hAnsi="Times New Roman;serif"/>
                          <w:b w:val="false"/>
                          <w:color w:val="000000"/>
                          <w:sz w:val="20"/>
                        </w:rPr>
                        <w:t>2025</w:t>
                      </w:r>
                      <w:r>
                        <w:rPr>
                          <w:color w:val="000000"/>
                        </w:rPr>
                        <w:t xml:space="preserve"> </w:t>
                      </w:r>
                      <w:r>
                        <w:rPr>
                          <w:rFonts w:ascii="Times New Roman;serif" w:hAnsi="Times New Roman;serif"/>
                          <w:b w:val="false"/>
                          <w:color w:val="000000"/>
                          <w:sz w:val="19"/>
                        </w:rPr>
                        <w:t>Form 10-Q | 2</w:t>
                      </w:r>
                    </w:p>
                  </w:txbxContent>
                </v:textbox>
                <w10:wrap type="none"/>
              </v:rect>
            </w:pict>
          </mc:Fallback>
        </mc:AlternateContent>
      </w:r>
    </w:p>
    <w:p>
      <w:pPr>
        <w:pStyle w:val="TextBody"/>
        <w:bidi w:val="0"/>
        <w:spacing w:lineRule="auto" w:line="288" w:before="0" w:after="0"/>
        <w:jc w:val="left"/>
        <w:rPr/>
      </w:pPr>
      <w:hyperlink w:anchor="i004be9cfd92c48c78448e0b03d16957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PACIRA BIOSCIENCES,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per share amounts)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904"/>
        <w:gridCol w:w="1305"/>
        <w:gridCol w:w="1300"/>
        <w:gridCol w:w="211"/>
        <w:gridCol w:w="826"/>
        <w:gridCol w:w="109"/>
        <w:gridCol w:w="109"/>
        <w:gridCol w:w="109"/>
        <w:gridCol w:w="109"/>
        <w:gridCol w:w="211"/>
        <w:gridCol w:w="868"/>
        <w:gridCol w:w="109"/>
        <w:gridCol w:w="109"/>
        <w:gridCol w:w="109"/>
        <w:gridCol w:w="109"/>
        <w:gridCol w:w="211"/>
        <w:gridCol w:w="826"/>
        <w:gridCol w:w="109"/>
        <w:gridCol w:w="109"/>
        <w:gridCol w:w="109"/>
        <w:gridCol w:w="109"/>
        <w:gridCol w:w="211"/>
        <w:gridCol w:w="868"/>
        <w:gridCol w:w="156"/>
      </w:tblGrid>
      <w:tr>
        <w:trPr/>
        <w:tc>
          <w:tcPr>
            <w:tcW w:w="1904"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w:t>
              <w:br/>
              <w:t>September 30,</w:t>
            </w:r>
          </w:p>
        </w:tc>
      </w:tr>
      <w:tr>
        <w:trPr/>
        <w:tc>
          <w:tcPr>
            <w:tcW w:w="45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4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product sales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178,040 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167,722 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525,981 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509,933 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Royalty revenue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r>
      <w:tr>
        <w:trPr/>
        <w:tc>
          <w:tcPr>
            <w:tcW w:w="4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revenues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179,516 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168,573 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529,538 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513,713 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109,450 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130,542 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57,680 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91,797 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267,151 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214,485 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acquired intangible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42,966 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impairment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163,243 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163,243 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consideration charges (gains), acquisition-related expenses, restructuring and other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operating expenses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173,154 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308,100 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512,687 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611,788 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operations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(139,527)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(98,075)</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14,134 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(11,889)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gain on early extinguishment of debt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other income (expense), net</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9,443 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before income taxes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(138,856)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(88,632)</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(26,969)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(143,466)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(115,601)</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per common share:</w:t>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and diluted net income (loss) per common share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r>
      <w:tr>
        <w:trPr/>
        <w:tc>
          <w:tcPr>
            <w:tcW w:w="4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w:t>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Basic</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46,269 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Diluted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46,269 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Q3 </w:t>
                            </w:r>
                            <w:r>
                              <w:rPr>
                                <w:rFonts w:ascii="Times New Roman;serif" w:hAnsi="Times New Roman;serif"/>
                                <w:b w:val="false"/>
                                <w:color w:val="000000"/>
                                <w:sz w:val="20"/>
                              </w:rPr>
                              <w:t>2025</w:t>
                            </w:r>
                            <w:r>
                              <w:rPr>
                                <w:color w:val="000000"/>
                              </w:rPr>
                              <w:t xml:space="preserve"> </w:t>
                            </w:r>
                            <w:r>
                              <w:rPr>
                                <w:rFonts w:ascii="Times New Roman;serif" w:hAnsi="Times New Roman;serif"/>
                                <w:b w:val="false"/>
                                <w:color w:val="000000"/>
                                <w:sz w:val="19"/>
                              </w:rPr>
                              <w:t>Form 10-Q | 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Q3 </w:t>
                      </w:r>
                      <w:r>
                        <w:rPr>
                          <w:rFonts w:ascii="Times New Roman;serif" w:hAnsi="Times New Roman;serif"/>
                          <w:b w:val="false"/>
                          <w:color w:val="000000"/>
                          <w:sz w:val="20"/>
                        </w:rPr>
                        <w:t>2025</w:t>
                      </w:r>
                      <w:r>
                        <w:rPr>
                          <w:color w:val="000000"/>
                        </w:rPr>
                        <w:t xml:space="preserve"> </w:t>
                      </w:r>
                      <w:r>
                        <w:rPr>
                          <w:rFonts w:ascii="Times New Roman;serif" w:hAnsi="Times New Roman;serif"/>
                          <w:b w:val="false"/>
                          <w:color w:val="000000"/>
                          <w:sz w:val="19"/>
                        </w:rPr>
                        <w:t>Form 10-Q | 3</w:t>
                      </w:r>
                    </w:p>
                  </w:txbxContent>
                </v:textbox>
                <w10:wrap type="none"/>
              </v:rect>
            </w:pict>
          </mc:Fallback>
        </mc:AlternateContent>
      </w:r>
    </w:p>
    <w:p>
      <w:pPr>
        <w:pStyle w:val="TextBody"/>
        <w:bidi w:val="0"/>
        <w:spacing w:lineRule="auto" w:line="288" w:before="0" w:after="0"/>
        <w:jc w:val="left"/>
        <w:rPr/>
      </w:pPr>
      <w:hyperlink w:anchor="i004be9cfd92c48c78448e0b03d16957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PACIRA BIOSCIENCES,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COMPREHENSIVE INCOME (LOSS)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tbl>
      <w:tblPr>
        <w:tblW w:w="9659" w:type="dxa"/>
        <w:jc w:val="center"/>
        <w:tblInd w:w="0" w:type="dxa"/>
        <w:tblLayout w:type="fixed"/>
        <w:tblCellMar>
          <w:top w:w="28" w:type="dxa"/>
          <w:left w:w="28" w:type="dxa"/>
          <w:bottom w:w="28" w:type="dxa"/>
          <w:right w:w="28" w:type="dxa"/>
        </w:tblCellMar>
      </w:tblPr>
      <w:tblGrid>
        <w:gridCol w:w="1564"/>
        <w:gridCol w:w="1372"/>
        <w:gridCol w:w="1383"/>
        <w:gridCol w:w="211"/>
        <w:gridCol w:w="616"/>
        <w:gridCol w:w="109"/>
        <w:gridCol w:w="109"/>
        <w:gridCol w:w="109"/>
        <w:gridCol w:w="109"/>
        <w:gridCol w:w="211"/>
        <w:gridCol w:w="901"/>
        <w:gridCol w:w="109"/>
        <w:gridCol w:w="109"/>
        <w:gridCol w:w="109"/>
        <w:gridCol w:w="109"/>
        <w:gridCol w:w="211"/>
        <w:gridCol w:w="616"/>
        <w:gridCol w:w="109"/>
        <w:gridCol w:w="109"/>
        <w:gridCol w:w="109"/>
        <w:gridCol w:w="109"/>
        <w:gridCol w:w="211"/>
        <w:gridCol w:w="901"/>
        <w:gridCol w:w="154"/>
      </w:tblGrid>
      <w:tr>
        <w:trPr/>
        <w:tc>
          <w:tcPr>
            <w:tcW w:w="1564" w:type="dxa"/>
            <w:tcBorders/>
            <w:vAlign w:val="center"/>
          </w:tcPr>
          <w:p>
            <w:pPr>
              <w:pStyle w:val="TableContents"/>
              <w:bidi w:val="0"/>
              <w:spacing w:before="0" w:after="283"/>
              <w:jc w:val="left"/>
              <w:rPr>
                <w:sz w:val="4"/>
                <w:szCs w:val="4"/>
              </w:rPr>
            </w:pPr>
            <w:r>
              <w:rPr>
                <w:sz w:val="4"/>
                <w:szCs w:val="4"/>
              </w:rPr>
            </w:r>
          </w:p>
        </w:tc>
        <w:tc>
          <w:tcPr>
            <w:tcW w:w="1372" w:type="dxa"/>
            <w:tcBorders/>
            <w:vAlign w:val="center"/>
          </w:tcPr>
          <w:p>
            <w:pPr>
              <w:pStyle w:val="TableContents"/>
              <w:bidi w:val="0"/>
              <w:spacing w:before="0" w:after="283"/>
              <w:jc w:val="left"/>
              <w:rPr>
                <w:sz w:val="4"/>
                <w:szCs w:val="4"/>
              </w:rPr>
            </w:pPr>
            <w:r>
              <w:rPr>
                <w:sz w:val="4"/>
                <w:szCs w:val="4"/>
              </w:rPr>
            </w:r>
          </w:p>
        </w:tc>
        <w:tc>
          <w:tcPr>
            <w:tcW w:w="13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w:t>
              <w:br/>
              <w:t>September 30,</w:t>
            </w:r>
          </w:p>
        </w:tc>
      </w:tr>
      <w:tr>
        <w:trPr/>
        <w:tc>
          <w:tcPr>
            <w:tcW w:w="43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(143,466)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(115,601)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unrealized gain (loss) on investments, net of tax</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comprehensive income</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 (loss)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(142,893)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9,177 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(115,170)</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Q3 </w:t>
                            </w:r>
                            <w:r>
                              <w:rPr>
                                <w:rFonts w:ascii="Times New Roman;serif" w:hAnsi="Times New Roman;serif"/>
                                <w:b w:val="false"/>
                                <w:color w:val="000000"/>
                                <w:sz w:val="20"/>
                              </w:rPr>
                              <w:t>2025</w:t>
                            </w:r>
                            <w:r>
                              <w:rPr>
                                <w:color w:val="000000"/>
                              </w:rPr>
                              <w:t xml:space="preserve"> </w:t>
                            </w:r>
                            <w:r>
                              <w:rPr>
                                <w:rFonts w:ascii="Times New Roman;serif" w:hAnsi="Times New Roman;serif"/>
                                <w:b w:val="false"/>
                                <w:color w:val="000000"/>
                                <w:sz w:val="19"/>
                              </w:rPr>
                              <w:t>Form 10-Q | 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Q3 </w:t>
                      </w:r>
                      <w:r>
                        <w:rPr>
                          <w:rFonts w:ascii="Times New Roman;serif" w:hAnsi="Times New Roman;serif"/>
                          <w:b w:val="false"/>
                          <w:color w:val="000000"/>
                          <w:sz w:val="20"/>
                        </w:rPr>
                        <w:t>2025</w:t>
                      </w:r>
                      <w:r>
                        <w:rPr>
                          <w:color w:val="000000"/>
                        </w:rPr>
                        <w:t xml:space="preserve"> </w:t>
                      </w:r>
                      <w:r>
                        <w:rPr>
                          <w:rFonts w:ascii="Times New Roman;serif" w:hAnsi="Times New Roman;serif"/>
                          <w:b w:val="false"/>
                          <w:color w:val="000000"/>
                          <w:sz w:val="19"/>
                        </w:rPr>
                        <w:t>Form 10-Q | 4</w:t>
                      </w:r>
                    </w:p>
                  </w:txbxContent>
                </v:textbox>
                <w10:wrap type="none"/>
              </v:rect>
            </w:pict>
          </mc:Fallback>
        </mc:AlternateContent>
      </w:r>
    </w:p>
    <w:p>
      <w:pPr>
        <w:pStyle w:val="TextBody"/>
        <w:bidi w:val="0"/>
        <w:spacing w:lineRule="auto" w:line="288" w:before="0" w:after="0"/>
        <w:jc w:val="left"/>
        <w:rPr/>
      </w:pPr>
      <w:hyperlink w:anchor="i004be9cfd92c48c78448e0b03d16957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PACIRA BIOSCIENCES,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STOCKHOLDERS’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THREE MONTHS ENDED SEPTEMBER 30, 2025 AND 2024</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tbl>
      <w:tblPr>
        <w:tblW w:w="12285" w:type="dxa"/>
        <w:jc w:val="center"/>
        <w:tblInd w:w="0" w:type="dxa"/>
        <w:tblLayout w:type="fixed"/>
        <w:tblCellMar>
          <w:top w:w="28" w:type="dxa"/>
          <w:left w:w="28" w:type="dxa"/>
          <w:bottom w:w="28" w:type="dxa"/>
          <w:right w:w="28" w:type="dxa"/>
        </w:tblCellMar>
      </w:tblPr>
      <w:tblGrid>
        <w:gridCol w:w="834"/>
        <w:gridCol w:w="258"/>
        <w:gridCol w:w="259"/>
        <w:gridCol w:w="430"/>
        <w:gridCol w:w="291"/>
        <w:gridCol w:w="248"/>
        <w:gridCol w:w="111"/>
        <w:gridCol w:w="111"/>
        <w:gridCol w:w="111"/>
        <w:gridCol w:w="372"/>
        <w:gridCol w:w="259"/>
        <w:gridCol w:w="248"/>
        <w:gridCol w:w="109"/>
        <w:gridCol w:w="109"/>
        <w:gridCol w:w="109"/>
        <w:gridCol w:w="237"/>
        <w:gridCol w:w="406"/>
        <w:gridCol w:w="123"/>
        <w:gridCol w:w="109"/>
        <w:gridCol w:w="109"/>
        <w:gridCol w:w="109"/>
        <w:gridCol w:w="211"/>
        <w:gridCol w:w="841"/>
        <w:gridCol w:w="109"/>
        <w:gridCol w:w="109"/>
        <w:gridCol w:w="109"/>
        <w:gridCol w:w="109"/>
        <w:gridCol w:w="211"/>
        <w:gridCol w:w="976"/>
        <w:gridCol w:w="109"/>
        <w:gridCol w:w="109"/>
        <w:gridCol w:w="109"/>
        <w:gridCol w:w="109"/>
        <w:gridCol w:w="211"/>
        <w:gridCol w:w="841"/>
        <w:gridCol w:w="109"/>
        <w:gridCol w:w="109"/>
        <w:gridCol w:w="109"/>
        <w:gridCol w:w="109"/>
        <w:gridCol w:w="274"/>
        <w:gridCol w:w="800"/>
        <w:gridCol w:w="142"/>
        <w:gridCol w:w="109"/>
        <w:gridCol w:w="109"/>
        <w:gridCol w:w="109"/>
        <w:gridCol w:w="211"/>
        <w:gridCol w:w="826"/>
        <w:gridCol w:w="154"/>
      </w:tblGrid>
      <w:tr>
        <w:trPr/>
        <w:tc>
          <w:tcPr>
            <w:tcW w:w="83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Shares 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Other</w:t>
              <w:br/>
              <w:t>Comprehensive</w:t>
              <w:br/>
              <w:t>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Shares</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June 30, 2025</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47,691 </w:t>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(2,793)</w:t>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(75,515)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1,035,563 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(206,391)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4,062 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757,767 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 of stock options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 restricted stock units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withheld for employee withholding tax liabilities on vested restricted stock units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treasury stock, inclusive of excise tax and broker fees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(1,976)</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(50,028)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(Note 11)</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September 30, 2025</w:t>
            </w:r>
          </w:p>
        </w:tc>
        <w:tc>
          <w:tcPr>
            <w:tcW w:w="7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47,735 </w:t>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(4,769)</w:t>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(125,543)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1,049,545 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(200,959)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4,123 </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727,214 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11917" w:type="dxa"/>
        <w:jc w:val="left"/>
        <w:tblInd w:w="0" w:type="dxa"/>
        <w:tblLayout w:type="fixed"/>
        <w:tblCellMar>
          <w:top w:w="28" w:type="dxa"/>
          <w:left w:w="28" w:type="dxa"/>
          <w:bottom w:w="28" w:type="dxa"/>
          <w:right w:w="28" w:type="dxa"/>
        </w:tblCellMar>
      </w:tblPr>
      <w:tblGrid>
        <w:gridCol w:w="834"/>
        <w:gridCol w:w="258"/>
        <w:gridCol w:w="259"/>
        <w:gridCol w:w="430"/>
        <w:gridCol w:w="291"/>
        <w:gridCol w:w="248"/>
        <w:gridCol w:w="111"/>
        <w:gridCol w:w="111"/>
        <w:gridCol w:w="111"/>
        <w:gridCol w:w="259"/>
        <w:gridCol w:w="259"/>
        <w:gridCol w:w="248"/>
        <w:gridCol w:w="109"/>
        <w:gridCol w:w="109"/>
        <w:gridCol w:w="109"/>
        <w:gridCol w:w="237"/>
        <w:gridCol w:w="406"/>
        <w:gridCol w:w="123"/>
        <w:gridCol w:w="109"/>
        <w:gridCol w:w="109"/>
        <w:gridCol w:w="109"/>
        <w:gridCol w:w="211"/>
        <w:gridCol w:w="736"/>
        <w:gridCol w:w="109"/>
        <w:gridCol w:w="109"/>
        <w:gridCol w:w="109"/>
        <w:gridCol w:w="109"/>
        <w:gridCol w:w="211"/>
        <w:gridCol w:w="826"/>
        <w:gridCol w:w="109"/>
        <w:gridCol w:w="109"/>
        <w:gridCol w:w="109"/>
        <w:gridCol w:w="109"/>
        <w:gridCol w:w="211"/>
        <w:gridCol w:w="841"/>
        <w:gridCol w:w="109"/>
        <w:gridCol w:w="109"/>
        <w:gridCol w:w="109"/>
        <w:gridCol w:w="109"/>
        <w:gridCol w:w="326"/>
        <w:gridCol w:w="720"/>
        <w:gridCol w:w="170"/>
        <w:gridCol w:w="109"/>
        <w:gridCol w:w="109"/>
        <w:gridCol w:w="109"/>
        <w:gridCol w:w="211"/>
        <w:gridCol w:w="826"/>
        <w:gridCol w:w="154"/>
      </w:tblGrid>
      <w:tr>
        <w:trPr/>
        <w:tc>
          <w:tcPr>
            <w:tcW w:w="83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Shares 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Other</w:t>
              <w:br/>
              <w:t>Comprehensive</w:t>
              <w:br/>
              <w:t>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Shares</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June 30, 2024</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46,954 </w:t>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(837)</w:t>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(25,121)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983,178 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(78,931)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879,278 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 restricted stock units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withheld for employee withholding tax liabilities on vested restricted stock units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(Note 11)</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(143,466)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(143,466)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September 30, 2024</w:t>
            </w:r>
          </w:p>
        </w:tc>
        <w:tc>
          <w:tcPr>
            <w:tcW w:w="7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46,985 </w:t>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(837)</w:t>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(25,121)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996,376 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(222,397)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678 </w:t>
            </w:r>
          </w:p>
        </w:tc>
        <w:tc>
          <w:tcPr>
            <w:tcW w:w="1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749,583 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condensed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Q3 </w:t>
                            </w:r>
                            <w:r>
                              <w:rPr>
                                <w:rFonts w:ascii="Times New Roman;serif" w:hAnsi="Times New Roman;serif"/>
                                <w:b w:val="false"/>
                                <w:color w:val="000000"/>
                                <w:sz w:val="20"/>
                              </w:rPr>
                              <w:t>2025</w:t>
                            </w:r>
                            <w:r>
                              <w:rPr>
                                <w:color w:val="000000"/>
                              </w:rPr>
                              <w:t xml:space="preserve"> </w:t>
                            </w:r>
                            <w:r>
                              <w:rPr>
                                <w:rFonts w:ascii="Times New Roman;serif" w:hAnsi="Times New Roman;serif"/>
                                <w:b w:val="false"/>
                                <w:color w:val="000000"/>
                                <w:sz w:val="19"/>
                              </w:rPr>
                              <w:t>Form 10-Q | 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Q3 </w:t>
                      </w:r>
                      <w:r>
                        <w:rPr>
                          <w:rFonts w:ascii="Times New Roman;serif" w:hAnsi="Times New Roman;serif"/>
                          <w:b w:val="false"/>
                          <w:color w:val="000000"/>
                          <w:sz w:val="20"/>
                        </w:rPr>
                        <w:t>2025</w:t>
                      </w:r>
                      <w:r>
                        <w:rPr>
                          <w:color w:val="000000"/>
                        </w:rPr>
                        <w:t xml:space="preserve"> </w:t>
                      </w:r>
                      <w:r>
                        <w:rPr>
                          <w:rFonts w:ascii="Times New Roman;serif" w:hAnsi="Times New Roman;serif"/>
                          <w:b w:val="false"/>
                          <w:color w:val="000000"/>
                          <w:sz w:val="19"/>
                        </w:rPr>
                        <w:t>Form 10-Q | 5</w:t>
                      </w:r>
                    </w:p>
                  </w:txbxContent>
                </v:textbox>
                <w10:wrap type="none"/>
              </v:rect>
            </w:pict>
          </mc:Fallback>
        </mc:AlternateContent>
      </w:r>
    </w:p>
    <w:p>
      <w:pPr>
        <w:pStyle w:val="TextBody"/>
        <w:bidi w:val="0"/>
        <w:spacing w:lineRule="auto" w:line="288" w:before="0" w:after="0"/>
        <w:jc w:val="left"/>
        <w:rPr/>
      </w:pPr>
      <w:hyperlink w:anchor="i004be9cfd92c48c78448e0b03d16957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PACIRA BIOSCIENCES,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STOCKHOLDERS’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NINE MONTHS ENDED SEPTEMBER 30, 2025 AND 2024</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tbl>
      <w:tblPr>
        <w:tblW w:w="11550" w:type="dxa"/>
        <w:jc w:val="left"/>
        <w:tblInd w:w="0" w:type="dxa"/>
        <w:tblLayout w:type="fixed"/>
        <w:tblCellMar>
          <w:top w:w="28" w:type="dxa"/>
          <w:left w:w="28" w:type="dxa"/>
          <w:bottom w:w="28" w:type="dxa"/>
          <w:right w:w="28" w:type="dxa"/>
        </w:tblCellMar>
      </w:tblPr>
      <w:tblGrid>
        <w:gridCol w:w="621"/>
        <w:gridCol w:w="282"/>
        <w:gridCol w:w="283"/>
        <w:gridCol w:w="387"/>
        <w:gridCol w:w="259"/>
        <w:gridCol w:w="248"/>
        <w:gridCol w:w="111"/>
        <w:gridCol w:w="111"/>
        <w:gridCol w:w="111"/>
        <w:gridCol w:w="312"/>
        <w:gridCol w:w="259"/>
        <w:gridCol w:w="248"/>
        <w:gridCol w:w="109"/>
        <w:gridCol w:w="109"/>
        <w:gridCol w:w="109"/>
        <w:gridCol w:w="236"/>
        <w:gridCol w:w="398"/>
        <w:gridCol w:w="132"/>
        <w:gridCol w:w="109"/>
        <w:gridCol w:w="109"/>
        <w:gridCol w:w="109"/>
        <w:gridCol w:w="196"/>
        <w:gridCol w:w="751"/>
        <w:gridCol w:w="109"/>
        <w:gridCol w:w="109"/>
        <w:gridCol w:w="109"/>
        <w:gridCol w:w="109"/>
        <w:gridCol w:w="196"/>
        <w:gridCol w:w="871"/>
        <w:gridCol w:w="109"/>
        <w:gridCol w:w="109"/>
        <w:gridCol w:w="109"/>
        <w:gridCol w:w="109"/>
        <w:gridCol w:w="196"/>
        <w:gridCol w:w="751"/>
        <w:gridCol w:w="109"/>
        <w:gridCol w:w="109"/>
        <w:gridCol w:w="109"/>
        <w:gridCol w:w="109"/>
        <w:gridCol w:w="276"/>
        <w:gridCol w:w="785"/>
        <w:gridCol w:w="155"/>
        <w:gridCol w:w="109"/>
        <w:gridCol w:w="109"/>
        <w:gridCol w:w="109"/>
        <w:gridCol w:w="196"/>
        <w:gridCol w:w="736"/>
        <w:gridCol w:w="154"/>
      </w:tblGrid>
      <w:tr>
        <w:trPr/>
        <w:tc>
          <w:tcPr>
            <w:tcW w:w="62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Shares 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Other</w:t>
              <w:br/>
              <w:t>Comprehensive</w:t>
              <w:br/>
              <w:t>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Shares</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December 31, 2024</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47,078 </w:t>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(837)</w:t>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(25,121)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1,009,435 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(206,356)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778,348 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Exercise of stock options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Vested restricted stock units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765 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stock withheld for employee withholding tax liabilities on vested restricted stock units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(5,474)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stock issued under employee stock</w:t>
              <w:br/>
              <w:t>purchase plan</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44,003 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treasury stock, inclusive of excise tax and broker fees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(3,932)</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(100,422)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(100,422)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(Note 11)</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3,780 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September 30, 2025</w:t>
            </w:r>
          </w:p>
        </w:tc>
        <w:tc>
          <w:tcPr>
            <w:tcW w:w="6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47,735 </w:t>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(4,769)</w:t>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(125,543)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1,049,545 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(200,959)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4,123 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727,214 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1272" w:type="dxa"/>
        <w:jc w:val="left"/>
        <w:tblInd w:w="0" w:type="dxa"/>
        <w:tblLayout w:type="fixed"/>
        <w:tblCellMar>
          <w:top w:w="28" w:type="dxa"/>
          <w:left w:w="28" w:type="dxa"/>
          <w:bottom w:w="28" w:type="dxa"/>
          <w:right w:w="28" w:type="dxa"/>
        </w:tblCellMar>
      </w:tblPr>
      <w:tblGrid>
        <w:gridCol w:w="621"/>
        <w:gridCol w:w="282"/>
        <w:gridCol w:w="283"/>
        <w:gridCol w:w="387"/>
        <w:gridCol w:w="259"/>
        <w:gridCol w:w="248"/>
        <w:gridCol w:w="111"/>
        <w:gridCol w:w="111"/>
        <w:gridCol w:w="111"/>
        <w:gridCol w:w="259"/>
        <w:gridCol w:w="259"/>
        <w:gridCol w:w="248"/>
        <w:gridCol w:w="109"/>
        <w:gridCol w:w="109"/>
        <w:gridCol w:w="109"/>
        <w:gridCol w:w="236"/>
        <w:gridCol w:w="398"/>
        <w:gridCol w:w="132"/>
        <w:gridCol w:w="109"/>
        <w:gridCol w:w="109"/>
        <w:gridCol w:w="109"/>
        <w:gridCol w:w="196"/>
        <w:gridCol w:w="661"/>
        <w:gridCol w:w="109"/>
        <w:gridCol w:w="109"/>
        <w:gridCol w:w="109"/>
        <w:gridCol w:w="109"/>
        <w:gridCol w:w="196"/>
        <w:gridCol w:w="736"/>
        <w:gridCol w:w="109"/>
        <w:gridCol w:w="109"/>
        <w:gridCol w:w="109"/>
        <w:gridCol w:w="109"/>
        <w:gridCol w:w="196"/>
        <w:gridCol w:w="751"/>
        <w:gridCol w:w="109"/>
        <w:gridCol w:w="109"/>
        <w:gridCol w:w="109"/>
        <w:gridCol w:w="109"/>
        <w:gridCol w:w="328"/>
        <w:gridCol w:w="705"/>
        <w:gridCol w:w="183"/>
        <w:gridCol w:w="109"/>
        <w:gridCol w:w="109"/>
        <w:gridCol w:w="109"/>
        <w:gridCol w:w="196"/>
        <w:gridCol w:w="736"/>
        <w:gridCol w:w="154"/>
      </w:tblGrid>
      <w:tr>
        <w:trPr/>
        <w:tc>
          <w:tcPr>
            <w:tcW w:w="62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Shares 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Other</w:t>
              <w:br/>
              <w:t>Comprehensive</w:t>
              <w:br/>
              <w:t>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Shares</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December 31, 2023</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46,481 </w:t>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976,633 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(106,796)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247 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870,130 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Vested restricted stock units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448 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stock withheld for employee withholding tax liabilities on vested restricted stock units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stock issued under employee stock</w:t>
              <w:br/>
              <w:t>purchase plan</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38,905 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38,905 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treasury stock, inclusive of excise tax</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(837)</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(25,121)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capped call transaction, net of tax</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(20,112)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(Note 11)</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431 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(115,601)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(115,601)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September 30, 2024</w:t>
            </w:r>
          </w:p>
        </w:tc>
        <w:tc>
          <w:tcPr>
            <w:tcW w:w="6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46,985 </w:t>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(837)</w:t>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(25,121)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996,376 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(222,397)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678 </w:t>
            </w:r>
          </w:p>
        </w:tc>
        <w:tc>
          <w:tcPr>
            <w:tcW w:w="1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749,583 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Q3 </w:t>
                            </w:r>
                            <w:r>
                              <w:rPr>
                                <w:rFonts w:ascii="Times New Roman;serif" w:hAnsi="Times New Roman;serif"/>
                                <w:b w:val="false"/>
                                <w:color w:val="000000"/>
                                <w:sz w:val="20"/>
                              </w:rPr>
                              <w:t>2025</w:t>
                            </w:r>
                            <w:r>
                              <w:rPr>
                                <w:color w:val="000000"/>
                              </w:rPr>
                              <w:t xml:space="preserve"> </w:t>
                            </w:r>
                            <w:r>
                              <w:rPr>
                                <w:rFonts w:ascii="Times New Roman;serif" w:hAnsi="Times New Roman;serif"/>
                                <w:b w:val="false"/>
                                <w:color w:val="000000"/>
                                <w:sz w:val="19"/>
                              </w:rPr>
                              <w:t>Form 10-Q | 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Q3 </w:t>
                      </w:r>
                      <w:r>
                        <w:rPr>
                          <w:rFonts w:ascii="Times New Roman;serif" w:hAnsi="Times New Roman;serif"/>
                          <w:b w:val="false"/>
                          <w:color w:val="000000"/>
                          <w:sz w:val="20"/>
                        </w:rPr>
                        <w:t>2025</w:t>
                      </w:r>
                      <w:r>
                        <w:rPr>
                          <w:color w:val="000000"/>
                        </w:rPr>
                        <w:t xml:space="preserve"> </w:t>
                      </w:r>
                      <w:r>
                        <w:rPr>
                          <w:rFonts w:ascii="Times New Roman;serif" w:hAnsi="Times New Roman;serif"/>
                          <w:b w:val="false"/>
                          <w:color w:val="000000"/>
                          <w:sz w:val="19"/>
                        </w:rPr>
                        <w:t>Form 10-Q | 6</w:t>
                      </w:r>
                    </w:p>
                  </w:txbxContent>
                </v:textbox>
                <w10:wrap type="none"/>
              </v:rect>
            </w:pict>
          </mc:Fallback>
        </mc:AlternateContent>
      </w:r>
    </w:p>
    <w:p>
      <w:pPr>
        <w:pStyle w:val="TextBody"/>
        <w:bidi w:val="0"/>
        <w:spacing w:lineRule="auto" w:line="288" w:before="0" w:after="0"/>
        <w:jc w:val="left"/>
        <w:rPr/>
      </w:pPr>
      <w:hyperlink w:anchor="i004be9cfd92c48c78448e0b03d16957e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ind w:left="0" w:right="0" w:firstLine="720"/>
        <w:jc w:val="center"/>
        <w:rPr>
          <w:rFonts w:ascii="Times New Roman;serif" w:hAnsi="Times New Roman;serif"/>
          <w:b/>
          <w:color w:val="000000"/>
          <w:sz w:val="20"/>
        </w:rPr>
      </w:pPr>
      <w:r>
        <w:rPr>
          <w:rFonts w:ascii="Times New Roman;serif" w:hAnsi="Times New Roman;serif"/>
          <w:b/>
          <w:color w:val="000000"/>
          <w:sz w:val="20"/>
        </w:rPr>
        <w:t>PACIRA BIOSCIENCES,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9939" w:type="dxa"/>
        <w:jc w:val="center"/>
        <w:tblInd w:w="0" w:type="dxa"/>
        <w:tblLayout w:type="fixed"/>
        <w:tblCellMar>
          <w:top w:w="28" w:type="dxa"/>
          <w:left w:w="28" w:type="dxa"/>
          <w:bottom w:w="28" w:type="dxa"/>
          <w:right w:w="28" w:type="dxa"/>
        </w:tblCellMar>
      </w:tblPr>
      <w:tblGrid>
        <w:gridCol w:w="2609"/>
        <w:gridCol w:w="2288"/>
        <w:gridCol w:w="2303"/>
        <w:gridCol w:w="211"/>
        <w:gridCol w:w="826"/>
        <w:gridCol w:w="109"/>
        <w:gridCol w:w="109"/>
        <w:gridCol w:w="109"/>
        <w:gridCol w:w="109"/>
        <w:gridCol w:w="211"/>
        <w:gridCol w:w="901"/>
        <w:gridCol w:w="154"/>
      </w:tblGrid>
      <w:tr>
        <w:trPr/>
        <w:tc>
          <w:tcPr>
            <w:tcW w:w="2609" w:type="dxa"/>
            <w:tcBorders/>
            <w:vAlign w:val="center"/>
          </w:tcPr>
          <w:p>
            <w:pPr>
              <w:pStyle w:val="TableContents"/>
              <w:bidi w:val="0"/>
              <w:spacing w:before="0" w:after="283"/>
              <w:jc w:val="left"/>
              <w:rPr>
                <w:sz w:val="4"/>
                <w:szCs w:val="4"/>
              </w:rPr>
            </w:pPr>
            <w:r>
              <w:rPr>
                <w:sz w:val="4"/>
                <w:szCs w:val="4"/>
              </w:rPr>
            </w:r>
          </w:p>
        </w:tc>
        <w:tc>
          <w:tcPr>
            <w:tcW w:w="2288" w:type="dxa"/>
            <w:tcBorders/>
            <w:vAlign w:val="center"/>
          </w:tcPr>
          <w:p>
            <w:pPr>
              <w:pStyle w:val="TableContents"/>
              <w:bidi w:val="0"/>
              <w:spacing w:before="0" w:after="283"/>
              <w:jc w:val="left"/>
              <w:rPr>
                <w:sz w:val="4"/>
                <w:szCs w:val="4"/>
              </w:rPr>
            </w:pPr>
            <w:r>
              <w:rPr>
                <w:sz w:val="4"/>
                <w:szCs w:val="4"/>
              </w:rPr>
            </w:r>
          </w:p>
        </w:tc>
        <w:tc>
          <w:tcPr>
            <w:tcW w:w="23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w:t>
              <w:br/>
              <w:t>September 30,</w:t>
            </w:r>
          </w:p>
        </w:tc>
      </w:tr>
      <w:tr>
        <w:trPr/>
        <w:tc>
          <w:tcPr>
            <w:tcW w:w="7200"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activities:</w:t>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(115,601)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(loss) to net cash provided by operating activities:</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impairment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163,243 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Indefinite-lived intangible asset impairment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impairment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of fixed assets and amortization of intangible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debt issuance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debt discount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(gain) on early extinguishment of debt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contingent consideration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 gains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income taxes payable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108,305 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156,257 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Investing activities:</w:t>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of GQ Bio Therapeutics GmbH (net of cash acquired)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fixed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(8,518)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available-for-sale investments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(113,450)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(207,017)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of available-for-sale investments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226,665 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132,627 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debt investments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720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investing activities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80,148 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(82,908)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Financing activities:</w:t>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exercises of stock options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shares issued under employee stock purchase plan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720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 of employee withholding taxes on restricted stock unit vests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treasury stock, inclusive of broker fees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2029 convertible senior notes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287,500 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Revolving Credit Facility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 of 2024 convertible senior notes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(8,641)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 of 2025 convertible senior notes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(202,487)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(190,994)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 of Term loan A facility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(105,312)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(8,438)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 of Revolving Credit Facility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capped call transactions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(26,709)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 of debt issuance and financing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(9,350)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provided by financing activities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(317,975)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19,318 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 and cash equivalents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(decrease) increase in cash and cash equivalents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(129,185)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92,667 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beginning of period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276,774 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153,298 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end of period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147,589 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245,965 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9939"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See accompanying condensed notes to consolidated financial statements.</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Q3 </w:t>
                            </w:r>
                            <w:r>
                              <w:rPr>
                                <w:rFonts w:ascii="Times New Roman;serif" w:hAnsi="Times New Roman;serif"/>
                                <w:b w:val="false"/>
                                <w:color w:val="000000"/>
                                <w:sz w:val="20"/>
                              </w:rPr>
                              <w:t>2025</w:t>
                            </w:r>
                            <w:r>
                              <w:rPr>
                                <w:color w:val="000000"/>
                              </w:rPr>
                              <w:t xml:space="preserve"> </w:t>
                            </w:r>
                            <w:r>
                              <w:rPr>
                                <w:rFonts w:ascii="Times New Roman;serif" w:hAnsi="Times New Roman;serif"/>
                                <w:b w:val="false"/>
                                <w:color w:val="000000"/>
                                <w:sz w:val="19"/>
                              </w:rPr>
                              <w:t>Form 10-Q | 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Q3 </w:t>
                      </w:r>
                      <w:r>
                        <w:rPr>
                          <w:rFonts w:ascii="Times New Roman;serif" w:hAnsi="Times New Roman;serif"/>
                          <w:b w:val="false"/>
                          <w:color w:val="000000"/>
                          <w:sz w:val="20"/>
                        </w:rPr>
                        <w:t>2025</w:t>
                      </w:r>
                      <w:r>
                        <w:rPr>
                          <w:color w:val="000000"/>
                        </w:rPr>
                        <w:t xml:space="preserve"> </w:t>
                      </w:r>
                      <w:r>
                        <w:rPr>
                          <w:rFonts w:ascii="Times New Roman;serif" w:hAnsi="Times New Roman;serif"/>
                          <w:b w:val="false"/>
                          <w:color w:val="000000"/>
                          <w:sz w:val="19"/>
                        </w:rPr>
                        <w:t>Form 10-Q | 7</w:t>
                      </w:r>
                    </w:p>
                  </w:txbxContent>
                </v:textbox>
                <w10:wrap type="none"/>
              </v:rect>
            </w:pict>
          </mc:Fallback>
        </mc:AlternateContent>
      </w:r>
    </w:p>
    <w:p>
      <w:pPr>
        <w:pStyle w:val="TextBody"/>
        <w:bidi w:val="0"/>
        <w:spacing w:lineRule="auto" w:line="288" w:before="0" w:after="0"/>
        <w:jc w:val="left"/>
        <w:rPr/>
      </w:pPr>
      <w:hyperlink w:anchor="i004be9cfd92c48c78448e0b03d16957e_7">
        <w:r>
          <w:rPr>
            <w:rStyle w:val="InternetLink"/>
            <w:rFonts w:ascii="Times New Roman;serif" w:hAnsi="Times New Roman;serif"/>
            <w:b w:val="false"/>
            <w:color w:val="0000FF"/>
            <w:sz w:val="20"/>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1653"/>
        <w:gridCol w:w="1451"/>
        <w:gridCol w:w="1458"/>
        <w:gridCol w:w="484"/>
        <w:gridCol w:w="1657"/>
        <w:gridCol w:w="250"/>
        <w:gridCol w:w="250"/>
        <w:gridCol w:w="250"/>
        <w:gridCol w:w="250"/>
        <w:gridCol w:w="484"/>
        <w:gridCol w:w="1657"/>
        <w:gridCol w:w="361"/>
      </w:tblGrid>
      <w:tr>
        <w:trPr/>
        <w:tc>
          <w:tcPr>
            <w:tcW w:w="1653" w:type="dxa"/>
            <w:tcBorders/>
            <w:vAlign w:val="center"/>
          </w:tcPr>
          <w:p>
            <w:pPr>
              <w:pStyle w:val="TableContents"/>
              <w:bidi w:val="0"/>
              <w:spacing w:before="0" w:after="283"/>
              <w:jc w:val="left"/>
              <w:rPr>
                <w:sz w:val="4"/>
                <w:szCs w:val="4"/>
              </w:rPr>
            </w:pPr>
            <w:r>
              <w:rPr>
                <w:sz w:val="4"/>
                <w:szCs w:val="4"/>
              </w:rPr>
            </w:r>
          </w:p>
        </w:tc>
        <w:tc>
          <w:tcPr>
            <w:tcW w:w="1451"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657"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657"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PACIRA BIOSCIENCES, INC.</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 (CONTINUED)</w:t>
            </w:r>
          </w:p>
          <w:p>
            <w:pPr>
              <w:pStyle w:val="TableContents"/>
              <w:bidi w:val="0"/>
              <w:spacing w:lineRule="auto" w:line="240" w:before="0" w:after="0"/>
              <w:jc w:val="center"/>
              <w:rPr/>
            </w:pPr>
            <w:r>
              <w:rPr>
                <w:color w:val="000000"/>
              </w:rPr>
              <w:t>  </w:t>
            </w:r>
            <w:r>
              <w:rPr>
                <w:rFonts w:ascii="Times New Roman;serif" w:hAnsi="Times New Roman;serif"/>
                <w:b/>
                <w:color w:val="000000"/>
                <w:sz w:val="20"/>
              </w:rPr>
              <w:t>(In thousands)</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(Unaudited)</w:t>
            </w:r>
          </w:p>
        </w:tc>
      </w:tr>
      <w:tr>
        <w:trPr/>
        <w:tc>
          <w:tcPr>
            <w:tcW w:w="45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3"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w:t>
              <w:br/>
              <w:t>September 30,</w:t>
            </w:r>
          </w:p>
        </w:tc>
      </w:tr>
      <w:tr>
        <w:trPr/>
        <w:tc>
          <w:tcPr>
            <w:tcW w:w="45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75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45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Supplemental cash flow information:</w:t>
            </w:r>
          </w:p>
        </w:tc>
        <w:tc>
          <w:tcPr>
            <w:tcW w:w="23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interest</w:t>
            </w:r>
          </w:p>
        </w:tc>
        <w:tc>
          <w:tcPr>
            <w:tcW w:w="4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10,390 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10,191 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paid for income taxes</w:t>
            </w:r>
          </w:p>
        </w:tc>
        <w:tc>
          <w:tcPr>
            <w:tcW w:w="4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8,944 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9,575 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Non-cash investing and financing activities:</w:t>
            </w:r>
          </w:p>
        </w:tc>
        <w:tc>
          <w:tcPr>
            <w:tcW w:w="23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562" w:type="dxa"/>
            <w:gridSpan w:val="3"/>
            <w:tcBorders/>
            <w:vAlign w:val="center"/>
          </w:tcPr>
          <w:p>
            <w:pPr>
              <w:pStyle w:val="TableContents"/>
              <w:bidi w:val="0"/>
              <w:spacing w:before="0" w:after="283"/>
              <w:jc w:val="left"/>
              <w:rPr>
                <w:sz w:val="4"/>
                <w:szCs w:val="4"/>
              </w:rPr>
            </w:pPr>
            <w:r>
              <w:rPr>
                <w:sz w:val="4"/>
                <w:szCs w:val="4"/>
              </w:rPr>
            </w:r>
          </w:p>
        </w:tc>
        <w:tc>
          <w:tcPr>
            <w:tcW w:w="2391" w:type="dxa"/>
            <w:gridSpan w:val="3"/>
            <w:tcBorders/>
            <w:vAlign w:val="center"/>
          </w:tcPr>
          <w:p>
            <w:pPr>
              <w:pStyle w:val="TableContents"/>
              <w:bidi w:val="0"/>
              <w:spacing w:before="0" w:after="283"/>
              <w:jc w:val="left"/>
              <w:rPr>
                <w:sz w:val="4"/>
                <w:szCs w:val="4"/>
              </w:rPr>
            </w:pPr>
            <w:r>
              <w:rPr>
                <w:sz w:val="4"/>
                <w:szCs w:val="4"/>
              </w:rPr>
            </w:r>
          </w:p>
        </w:tc>
        <w:tc>
          <w:tcPr>
            <w:tcW w:w="750" w:type="dxa"/>
            <w:gridSpan w:val="3"/>
            <w:tcBorders/>
            <w:vAlign w:val="center"/>
          </w:tcPr>
          <w:p>
            <w:pPr>
              <w:pStyle w:val="TableContents"/>
              <w:bidi w:val="0"/>
              <w:spacing w:before="0" w:after="283"/>
              <w:jc w:val="left"/>
              <w:rPr>
                <w:sz w:val="4"/>
                <w:szCs w:val="4"/>
              </w:rPr>
            </w:pPr>
            <w:r>
              <w:rPr>
                <w:sz w:val="4"/>
                <w:szCs w:val="4"/>
              </w:rPr>
            </w:r>
          </w:p>
        </w:tc>
        <w:tc>
          <w:tcPr>
            <w:tcW w:w="2502" w:type="dxa"/>
            <w:gridSpan w:val="3"/>
            <w:tcBorders/>
            <w:vAlign w:val="center"/>
          </w:tcPr>
          <w:p>
            <w:pPr>
              <w:pStyle w:val="TableContents"/>
              <w:bidi w:val="0"/>
              <w:spacing w:before="0" w:after="283"/>
              <w:jc w:val="left"/>
              <w:rPr>
                <w:sz w:val="4"/>
                <w:szCs w:val="4"/>
              </w:rPr>
            </w:pPr>
            <w:r>
              <w:rPr>
                <w:sz w:val="4"/>
                <w:szCs w:val="4"/>
              </w:rPr>
            </w:r>
          </w:p>
        </w:tc>
      </w:tr>
      <w:tr>
        <w:trPr/>
        <w:tc>
          <w:tcPr>
            <w:tcW w:w="4562" w:type="dxa"/>
            <w:gridSpan w:val="3"/>
            <w:tcBorders/>
            <w:vAlign w:val="center"/>
          </w:tcPr>
          <w:p>
            <w:pPr>
              <w:pStyle w:val="TableContents"/>
              <w:bidi w:val="0"/>
              <w:spacing w:before="0" w:after="283"/>
              <w:jc w:val="left"/>
              <w:rPr>
                <w:sz w:val="4"/>
                <w:szCs w:val="4"/>
              </w:rPr>
            </w:pPr>
            <w:r>
              <w:rPr>
                <w:sz w:val="4"/>
                <w:szCs w:val="4"/>
              </w:rPr>
            </w:r>
          </w:p>
        </w:tc>
        <w:tc>
          <w:tcPr>
            <w:tcW w:w="2391" w:type="dxa"/>
            <w:gridSpan w:val="3"/>
            <w:tcBorders/>
            <w:vAlign w:val="center"/>
          </w:tcPr>
          <w:p>
            <w:pPr>
              <w:pStyle w:val="TableContents"/>
              <w:bidi w:val="0"/>
              <w:spacing w:before="0" w:after="283"/>
              <w:jc w:val="left"/>
              <w:rPr>
                <w:sz w:val="4"/>
                <w:szCs w:val="4"/>
              </w:rPr>
            </w:pPr>
            <w:r>
              <w:rPr>
                <w:sz w:val="4"/>
                <w:szCs w:val="4"/>
              </w:rPr>
            </w:r>
          </w:p>
        </w:tc>
        <w:tc>
          <w:tcPr>
            <w:tcW w:w="750" w:type="dxa"/>
            <w:gridSpan w:val="3"/>
            <w:tcBorders/>
            <w:vAlign w:val="center"/>
          </w:tcPr>
          <w:p>
            <w:pPr>
              <w:pStyle w:val="TableContents"/>
              <w:bidi w:val="0"/>
              <w:spacing w:before="0" w:after="283"/>
              <w:jc w:val="left"/>
              <w:rPr>
                <w:sz w:val="4"/>
                <w:szCs w:val="4"/>
              </w:rPr>
            </w:pPr>
            <w:r>
              <w:rPr>
                <w:sz w:val="4"/>
                <w:szCs w:val="4"/>
              </w:rPr>
            </w:r>
          </w:p>
        </w:tc>
        <w:tc>
          <w:tcPr>
            <w:tcW w:w="2502" w:type="dxa"/>
            <w:gridSpan w:val="3"/>
            <w:tcBorders/>
            <w:vAlign w:val="center"/>
          </w:tcPr>
          <w:p>
            <w:pPr>
              <w:pStyle w:val="TableContents"/>
              <w:bidi w:val="0"/>
              <w:spacing w:before="0" w:after="283"/>
              <w:jc w:val="left"/>
              <w:rPr>
                <w:sz w:val="4"/>
                <w:szCs w:val="4"/>
              </w:rPr>
            </w:pPr>
            <w:r>
              <w:rPr>
                <w:sz w:val="4"/>
                <w:szCs w:val="4"/>
              </w:rPr>
            </w:r>
          </w:p>
        </w:tc>
      </w:tr>
      <w:tr>
        <w:trPr/>
        <w:tc>
          <w:tcPr>
            <w:tcW w:w="4562" w:type="dxa"/>
            <w:gridSpan w:val="3"/>
            <w:tcBorders/>
            <w:vAlign w:val="center"/>
          </w:tcPr>
          <w:p>
            <w:pPr>
              <w:pStyle w:val="TableContents"/>
              <w:bidi w:val="0"/>
              <w:spacing w:before="0" w:after="283"/>
              <w:jc w:val="left"/>
              <w:rPr>
                <w:sz w:val="4"/>
                <w:szCs w:val="4"/>
              </w:rPr>
            </w:pPr>
            <w:r>
              <w:rPr>
                <w:sz w:val="4"/>
                <w:szCs w:val="4"/>
              </w:rPr>
            </w:r>
          </w:p>
        </w:tc>
        <w:tc>
          <w:tcPr>
            <w:tcW w:w="2391" w:type="dxa"/>
            <w:gridSpan w:val="3"/>
            <w:tcBorders/>
            <w:vAlign w:val="center"/>
          </w:tcPr>
          <w:p>
            <w:pPr>
              <w:pStyle w:val="TableContents"/>
              <w:bidi w:val="0"/>
              <w:spacing w:before="0" w:after="283"/>
              <w:jc w:val="left"/>
              <w:rPr>
                <w:sz w:val="4"/>
                <w:szCs w:val="4"/>
              </w:rPr>
            </w:pPr>
            <w:r>
              <w:rPr>
                <w:sz w:val="4"/>
                <w:szCs w:val="4"/>
              </w:rPr>
            </w:r>
          </w:p>
        </w:tc>
        <w:tc>
          <w:tcPr>
            <w:tcW w:w="750" w:type="dxa"/>
            <w:gridSpan w:val="3"/>
            <w:tcBorders/>
            <w:vAlign w:val="center"/>
          </w:tcPr>
          <w:p>
            <w:pPr>
              <w:pStyle w:val="TableContents"/>
              <w:bidi w:val="0"/>
              <w:spacing w:before="0" w:after="283"/>
              <w:jc w:val="left"/>
              <w:rPr>
                <w:sz w:val="4"/>
                <w:szCs w:val="4"/>
              </w:rPr>
            </w:pPr>
            <w:r>
              <w:rPr>
                <w:sz w:val="4"/>
                <w:szCs w:val="4"/>
              </w:rPr>
            </w:r>
          </w:p>
        </w:tc>
        <w:tc>
          <w:tcPr>
            <w:tcW w:w="2502" w:type="dxa"/>
            <w:gridSpan w:val="3"/>
            <w:tcBorders/>
            <w:vAlign w:val="center"/>
          </w:tcPr>
          <w:p>
            <w:pPr>
              <w:pStyle w:val="TableContents"/>
              <w:bidi w:val="0"/>
              <w:spacing w:before="0" w:after="283"/>
              <w:jc w:val="left"/>
              <w:rPr>
                <w:sz w:val="4"/>
                <w:szCs w:val="4"/>
              </w:rPr>
            </w:pPr>
            <w:r>
              <w:rPr>
                <w:sz w:val="4"/>
                <w:szCs w:val="4"/>
              </w:rPr>
            </w:r>
          </w:p>
        </w:tc>
      </w:tr>
      <w:tr>
        <w:trPr/>
        <w:tc>
          <w:tcPr>
            <w:tcW w:w="45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assets included in accounts payable and accrued liabilities</w:t>
            </w:r>
          </w:p>
        </w:tc>
        <w:tc>
          <w:tcPr>
            <w:tcW w:w="4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1,116 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Excise tax on share repurchases included in accrued liabilities</w:t>
            </w:r>
          </w:p>
        </w:tc>
        <w:tc>
          <w:tcPr>
            <w:tcW w:w="4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2" w:type="dxa"/>
            <w:gridSpan w:val="3"/>
            <w:tcBorders/>
            <w:vAlign w:val="center"/>
          </w:tcPr>
          <w:p>
            <w:pPr>
              <w:pStyle w:val="TableContents"/>
              <w:bidi w:val="0"/>
              <w:spacing w:before="0" w:after="283"/>
              <w:jc w:val="left"/>
              <w:rPr>
                <w:sz w:val="4"/>
                <w:szCs w:val="4"/>
              </w:rPr>
            </w:pPr>
            <w:r>
              <w:rPr>
                <w:sz w:val="4"/>
                <w:szCs w:val="4"/>
              </w:rPr>
            </w:r>
          </w:p>
        </w:tc>
        <w:tc>
          <w:tcPr>
            <w:tcW w:w="2391" w:type="dxa"/>
            <w:gridSpan w:val="3"/>
            <w:tcBorders/>
            <w:vAlign w:val="center"/>
          </w:tcPr>
          <w:p>
            <w:pPr>
              <w:pStyle w:val="TableContents"/>
              <w:bidi w:val="0"/>
              <w:spacing w:before="0" w:after="283"/>
              <w:jc w:val="left"/>
              <w:rPr>
                <w:sz w:val="4"/>
                <w:szCs w:val="4"/>
              </w:rPr>
            </w:pPr>
            <w:r>
              <w:rPr>
                <w:sz w:val="4"/>
                <w:szCs w:val="4"/>
              </w:rPr>
            </w:r>
          </w:p>
        </w:tc>
        <w:tc>
          <w:tcPr>
            <w:tcW w:w="750" w:type="dxa"/>
            <w:gridSpan w:val="3"/>
            <w:tcBorders/>
            <w:vAlign w:val="center"/>
          </w:tcPr>
          <w:p>
            <w:pPr>
              <w:pStyle w:val="TableContents"/>
              <w:bidi w:val="0"/>
              <w:spacing w:before="0" w:after="283"/>
              <w:jc w:val="left"/>
              <w:rPr>
                <w:sz w:val="4"/>
                <w:szCs w:val="4"/>
              </w:rPr>
            </w:pPr>
            <w:r>
              <w:rPr>
                <w:sz w:val="4"/>
                <w:szCs w:val="4"/>
              </w:rPr>
            </w:r>
          </w:p>
        </w:tc>
        <w:tc>
          <w:tcPr>
            <w:tcW w:w="2502" w:type="dxa"/>
            <w:gridSpan w:val="3"/>
            <w:tcBorders/>
            <w:vAlign w:val="center"/>
          </w:tcPr>
          <w:p>
            <w:pPr>
              <w:pStyle w:val="TableContents"/>
              <w:bidi w:val="0"/>
              <w:spacing w:before="0" w:after="283"/>
              <w:jc w:val="left"/>
              <w:rPr>
                <w:sz w:val="4"/>
                <w:szCs w:val="4"/>
              </w:rPr>
            </w:pPr>
            <w:r>
              <w:rPr>
                <w:sz w:val="4"/>
                <w:szCs w:val="4"/>
              </w:rPr>
            </w:r>
          </w:p>
        </w:tc>
      </w:tr>
      <w:tr>
        <w:trPr/>
        <w:tc>
          <w:tcPr>
            <w:tcW w:w="4562" w:type="dxa"/>
            <w:gridSpan w:val="3"/>
            <w:tcBorders/>
            <w:vAlign w:val="center"/>
          </w:tcPr>
          <w:p>
            <w:pPr>
              <w:pStyle w:val="TableContents"/>
              <w:bidi w:val="0"/>
              <w:spacing w:before="0" w:after="283"/>
              <w:jc w:val="left"/>
              <w:rPr>
                <w:sz w:val="4"/>
                <w:szCs w:val="4"/>
              </w:rPr>
            </w:pPr>
            <w:r>
              <w:rPr>
                <w:sz w:val="4"/>
                <w:szCs w:val="4"/>
              </w:rPr>
            </w:r>
          </w:p>
        </w:tc>
        <w:tc>
          <w:tcPr>
            <w:tcW w:w="2391" w:type="dxa"/>
            <w:gridSpan w:val="3"/>
            <w:tcBorders/>
            <w:vAlign w:val="center"/>
          </w:tcPr>
          <w:p>
            <w:pPr>
              <w:pStyle w:val="TableContents"/>
              <w:bidi w:val="0"/>
              <w:spacing w:before="0" w:after="283"/>
              <w:jc w:val="left"/>
              <w:rPr>
                <w:sz w:val="4"/>
                <w:szCs w:val="4"/>
              </w:rPr>
            </w:pPr>
            <w:r>
              <w:rPr>
                <w:sz w:val="4"/>
                <w:szCs w:val="4"/>
              </w:rPr>
            </w:r>
          </w:p>
        </w:tc>
        <w:tc>
          <w:tcPr>
            <w:tcW w:w="750" w:type="dxa"/>
            <w:gridSpan w:val="3"/>
            <w:tcBorders/>
            <w:vAlign w:val="center"/>
          </w:tcPr>
          <w:p>
            <w:pPr>
              <w:pStyle w:val="TableContents"/>
              <w:bidi w:val="0"/>
              <w:spacing w:before="0" w:after="283"/>
              <w:jc w:val="left"/>
              <w:rPr>
                <w:sz w:val="4"/>
                <w:szCs w:val="4"/>
              </w:rPr>
            </w:pPr>
            <w:r>
              <w:rPr>
                <w:sz w:val="4"/>
                <w:szCs w:val="4"/>
              </w:rPr>
            </w:r>
          </w:p>
        </w:tc>
        <w:tc>
          <w:tcPr>
            <w:tcW w:w="2502" w:type="dxa"/>
            <w:gridSpan w:val="3"/>
            <w:tcBorders/>
            <w:vAlign w:val="center"/>
          </w:tcPr>
          <w:p>
            <w:pPr>
              <w:pStyle w:val="TableContents"/>
              <w:bidi w:val="0"/>
              <w:spacing w:before="0" w:after="283"/>
              <w:jc w:val="left"/>
              <w:rPr>
                <w:sz w:val="4"/>
                <w:szCs w:val="4"/>
              </w:rPr>
            </w:pPr>
            <w:r>
              <w:rPr>
                <w:sz w:val="4"/>
                <w:szCs w:val="4"/>
              </w:rPr>
            </w:r>
          </w:p>
        </w:tc>
      </w:tr>
      <w:tr>
        <w:trPr/>
        <w:tc>
          <w:tcPr>
            <w:tcW w:w="4562" w:type="dxa"/>
            <w:gridSpan w:val="3"/>
            <w:tcBorders/>
            <w:vAlign w:val="center"/>
          </w:tcPr>
          <w:p>
            <w:pPr>
              <w:pStyle w:val="TableContents"/>
              <w:bidi w:val="0"/>
              <w:spacing w:before="0" w:after="283"/>
              <w:jc w:val="left"/>
              <w:rPr>
                <w:sz w:val="4"/>
                <w:szCs w:val="4"/>
              </w:rPr>
            </w:pPr>
            <w:r>
              <w:rPr>
                <w:sz w:val="4"/>
                <w:szCs w:val="4"/>
              </w:rPr>
            </w:r>
          </w:p>
        </w:tc>
        <w:tc>
          <w:tcPr>
            <w:tcW w:w="2391" w:type="dxa"/>
            <w:gridSpan w:val="3"/>
            <w:tcBorders/>
            <w:vAlign w:val="center"/>
          </w:tcPr>
          <w:p>
            <w:pPr>
              <w:pStyle w:val="TableContents"/>
              <w:bidi w:val="0"/>
              <w:spacing w:before="0" w:after="283"/>
              <w:jc w:val="left"/>
              <w:rPr>
                <w:sz w:val="4"/>
                <w:szCs w:val="4"/>
              </w:rPr>
            </w:pPr>
            <w:r>
              <w:rPr>
                <w:sz w:val="4"/>
                <w:szCs w:val="4"/>
              </w:rPr>
            </w:r>
          </w:p>
        </w:tc>
        <w:tc>
          <w:tcPr>
            <w:tcW w:w="750" w:type="dxa"/>
            <w:gridSpan w:val="3"/>
            <w:tcBorders/>
            <w:vAlign w:val="center"/>
          </w:tcPr>
          <w:p>
            <w:pPr>
              <w:pStyle w:val="TableContents"/>
              <w:bidi w:val="0"/>
              <w:spacing w:before="0" w:after="283"/>
              <w:jc w:val="left"/>
              <w:rPr>
                <w:sz w:val="4"/>
                <w:szCs w:val="4"/>
              </w:rPr>
            </w:pPr>
            <w:r>
              <w:rPr>
                <w:sz w:val="4"/>
                <w:szCs w:val="4"/>
              </w:rPr>
            </w:r>
          </w:p>
        </w:tc>
        <w:tc>
          <w:tcPr>
            <w:tcW w:w="250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60"/>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0"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Q3 </w:t>
                            </w:r>
                            <w:r>
                              <w:rPr>
                                <w:rFonts w:ascii="Times New Roman;serif" w:hAnsi="Times New Roman;serif"/>
                                <w:b w:val="false"/>
                                <w:color w:val="000000"/>
                                <w:sz w:val="20"/>
                              </w:rPr>
                              <w:t>2025</w:t>
                            </w:r>
                            <w:r>
                              <w:rPr>
                                <w:color w:val="000000"/>
                              </w:rPr>
                              <w:t xml:space="preserve"> </w:t>
                            </w:r>
                            <w:r>
                              <w:rPr>
                                <w:rFonts w:ascii="Times New Roman;serif" w:hAnsi="Times New Roman;serif"/>
                                <w:b w:val="false"/>
                                <w:color w:val="000000"/>
                                <w:sz w:val="19"/>
                              </w:rPr>
                              <w:t>Form 10-Q | 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Q3 </w:t>
                      </w:r>
                      <w:r>
                        <w:rPr>
                          <w:rFonts w:ascii="Times New Roman;serif" w:hAnsi="Times New Roman;serif"/>
                          <w:b w:val="false"/>
                          <w:color w:val="000000"/>
                          <w:sz w:val="20"/>
                        </w:rPr>
                        <w:t>2025</w:t>
                      </w:r>
                      <w:r>
                        <w:rPr>
                          <w:color w:val="000000"/>
                        </w:rPr>
                        <w:t xml:space="preserve"> </w:t>
                      </w:r>
                      <w:r>
                        <w:rPr>
                          <w:rFonts w:ascii="Times New Roman;serif" w:hAnsi="Times New Roman;serif"/>
                          <w:b w:val="false"/>
                          <w:color w:val="000000"/>
                          <w:sz w:val="19"/>
                        </w:rPr>
                        <w:t>Form 10-Q | 8</w:t>
                      </w:r>
                    </w:p>
                  </w:txbxContent>
                </v:textbox>
                <w10:wrap type="none"/>
              </v:rect>
            </w:pict>
          </mc:Fallback>
        </mc:AlternateContent>
      </w:r>
    </w:p>
    <w:p>
      <w:pPr>
        <w:pStyle w:val="TextBody"/>
        <w:bidi w:val="0"/>
        <w:spacing w:lineRule="auto" w:line="288" w:before="0" w:after="0"/>
        <w:jc w:val="left"/>
        <w:rPr/>
      </w:pPr>
      <w:hyperlink w:anchor="i004be9cfd92c48c78448e0b03d16957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PACIRA BIOSCIENCES,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1—DESCRIPTION OF BUSINESS</w:t>
      </w:r>
    </w:p>
    <w:p>
      <w:pPr>
        <w:pStyle w:val="TextBody"/>
        <w:bidi w:val="0"/>
        <w:spacing w:lineRule="auto" w:line="288" w:before="180" w:after="283"/>
        <w:ind w:left="0" w:right="0" w:firstLine="450"/>
        <w:jc w:val="left"/>
        <w:rPr/>
      </w:pPr>
      <w:r>
        <w:rPr>
          <w:rFonts w:ascii="Times New Roman;serif" w:hAnsi="Times New Roman;serif"/>
          <w:b w:val="false"/>
          <w:color w:val="000000"/>
          <w:sz w:val="20"/>
        </w:rPr>
        <w:t>Pacira BioSciences, Inc. and its subsidiaries (collectively, the “Company” or “Pacira”) deliver innovative, non-opioid pain therapies to transform the lives of patients. The Company’s long-acting, local analgesic, EXPAREL</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(bupivacaine liposome injectable suspension), was commercially launched in the United States, or U.S., in April 2012 and approved in select European countries and the United Kingdom, or U.K., in November 2021. EXPAREL utilizes the Company’s proprietary multivesicular liposome, or pMVL, drug delivery technology that encapsulates drugs without altering their molecular structure and releases them over a desired period of time. EXPAREL is currently indicated to produce postsurgical local analgesia via infiltration in patients aged six years and older, and postsurgical regional analgesia via an interscalene brachial plexus block in adults, a sciatic nerve block in the popliteal fossa in adults, and an adductor canal block in adults for postsurgical pain management (the safety and effectiveness of EXPAREL have not been established to produce postsurgical regional analgesia via other nerve blocks other than an interscalene brachial plexus nerve block, a sciatic nerve block in the popliteal fossa, and an adductor canal block). In November 2021, the Company acquired Flexion Therapeutics, Inc., or Flexion (the “Flexion Acquisition”), and added ZILRETTA</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(triamcinolone acetonide extended-release injectable suspension) to its product portfolio. ZILRETTA is the first and only extended-release, intra-articular (meaning in the joint) injection indicated for the management of osteoarthritis, or OA, knee pain. In April 2019, the Company added iovera</w:t>
      </w:r>
      <w:r>
        <w:rPr>
          <w:rFonts w:ascii="Times New Roman;serif" w:hAnsi="Times New Roman;serif"/>
          <w:b w:val="false"/>
          <w:color w:val="000000"/>
          <w:sz w:val="10"/>
        </w:rPr>
        <w:t>®</w:t>
      </w:r>
      <w:r>
        <w:rPr>
          <w:rFonts w:ascii="Times New Roman;serif" w:hAnsi="Times New Roman;serif"/>
          <w:b w:val="false"/>
          <w:color w:val="000000"/>
          <w:sz w:val="20"/>
        </w:rPr>
        <w:t>°</w:t>
      </w:r>
      <w:r>
        <w:rPr>
          <w:color w:val="000000"/>
        </w:rPr>
        <w:t xml:space="preserve"> </w:t>
      </w:r>
      <w:r>
        <w:rPr>
          <w:rFonts w:ascii="Times New Roman;serif" w:hAnsi="Times New Roman;serif"/>
          <w:b w:val="false"/>
          <w:color w:val="000000"/>
          <w:sz w:val="20"/>
        </w:rPr>
        <w:t xml:space="preserve">to its commercial offering with the acquisition of MyoScience, Inc. (the “MyoScience Acquisition”). The iovera° system is a handheld cryoanalgesia device that delivers immediate, long-acting, drug-free pain control using precise, controlled doses of cold temperature to a targeted nerve. The Company is also advancing the development of PCRX-201 (enekinragene inzadenovec), a novel, locally administered gene therapy for the treatment of OA of the knee. PCRX-201 is the lead program from the Company’s proprietary high-capacity adenovirus, or HCAd, vector platform, which enables local administration of genetic medicines and has the potential to unlock gene therapy for large prevalent diseases affecting millions of people. In February 2025, the Company acquired the remaining 81 percent equity interest in GQ Bio Therapeutics GmbH, or GQ Bio (the “GQ Bio Acquisition”), a privately-held biopharmaceutical company, which included the novel HCAd platform, a preclinical portfolio of HCAd-based assets and research and development talent. For more information on the GQ Bio Acquisition, see Note 3, </w:t>
      </w:r>
      <w:r>
        <w:rPr>
          <w:rFonts w:ascii="Times New Roman;serif" w:hAnsi="Times New Roman;serif"/>
          <w:b w:val="false"/>
          <w:i/>
          <w:color w:val="000000"/>
          <w:sz w:val="20"/>
        </w:rPr>
        <w:t>GQ Bio Therapeutics Acquisition</w:t>
      </w:r>
      <w:r>
        <w:rPr>
          <w:rFonts w:ascii="Times New Roman;serif" w:hAnsi="Times New Roman;serif"/>
          <w:b w:val="false"/>
          <w:color w:val="000000"/>
          <w:sz w:val="20"/>
        </w:rPr>
        <w:t>.</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Pacira is subject to risks common to companies in similar industries and stages, including, but not limited to, competition from larger companies and potential generic entrants, reliance on revenue from three products, reliance on a limited number of wholesalers, reliance on a limited number of manufacturing sites, new technological innovations, dependence on key personnel, reliance on third-party service providers and sole source suppliers, tariffs, protection of proprietary technology, compliance with government regulations and risks related to cybersecurity.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NOTE 2—SUMMARY OF SIGNIFICANT ACCOUNTING POLICIES</w:t>
      </w:r>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Basis of Presentation and Principles of Consolidation</w:t>
      </w:r>
    </w:p>
    <w:p>
      <w:pPr>
        <w:pStyle w:val="TextBody"/>
        <w:bidi w:val="0"/>
        <w:spacing w:lineRule="auto" w:line="288" w:before="180" w:after="283"/>
        <w:ind w:left="0" w:right="0" w:firstLine="450"/>
        <w:jc w:val="left"/>
        <w:rPr/>
      </w:pPr>
      <w:r>
        <w:rPr>
          <w:rFonts w:ascii="Times New Roman;serif" w:hAnsi="Times New Roman;serif"/>
          <w:b w:val="false"/>
          <w:color w:val="000000"/>
          <w:sz w:val="20"/>
        </w:rPr>
        <w:t xml:space="preserve">These interim condensed consolidated financial statements have been prepared in accordance with generally accepted accounting principles in the United States of America, or GAAP, and in accordance with the rules and regulations of the United States Securities and Exchange Commission, for interim reporting. Pursuant to these rules and regulations, certain information and footnote disclosures normally included in complete annual financial statements have been condensed or omitted. Therefore, these interim condensed consolidated financial statements should be read in conjunction with the audited annual consolidated financial statements and notes thereto included in the Company’s </w:t>
      </w:r>
      <w:hyperlink r:id="rId3">
        <w:r>
          <w:rPr>
            <w:rStyle w:val="InternetLink"/>
            <w:rFonts w:ascii="Times New Roman;serif" w:hAnsi="Times New Roman;serif"/>
            <w:b w:val="false"/>
            <w:color w:val="0000FF"/>
            <w:sz w:val="20"/>
            <w:u w:val="single"/>
          </w:rPr>
          <w:t>Annual Report on Form 10-K for the year ended December 31, 2024</w:t>
        </w:r>
      </w:hyperlink>
      <w:r>
        <w:rPr>
          <w:color w:val="000000"/>
        </w:rPr>
        <w:t xml:space="preserve"> </w:t>
      </w:r>
      <w:r>
        <w:rPr>
          <w:rFonts w:ascii="Times New Roman;serif" w:hAnsi="Times New Roman;serif"/>
          <w:b w:val="false"/>
          <w:color w:val="000000"/>
          <w:sz w:val="20"/>
        </w:rPr>
        <w:t>(the “2024 Annual Report”).</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condensed consolidated financial statements at September 30, 2025, and for the three and nine-month periods ended September 30, 2025 and 2024, are unaudited, but include all adjustments (consisting of only normal recurring adjustments) which, in the opinion of management, are necessary to present fairly the financial information set forth herein in accordance with GAAP. The condensed consolidated balance sheet at December 31, 2024 is derived from the audited consolidated financial statements included in the Company’s 2024 Annual Report. The accounts of wholly-owned subsidiaries are included in the condensed consolidated financial statements. The condensed consolidated financial statements as presented reflect certain reclassifications from previously issued financial statements to conform to the current presentation. Intercompany accounts and transactions have been eliminated in consolidation.</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results of operations for these interim periods are not necessarily indicative of results that may be expected for any other interim periods or for the full year.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1"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Q3 </w:t>
                            </w:r>
                            <w:r>
                              <w:rPr>
                                <w:rFonts w:ascii="Times New Roman;serif" w:hAnsi="Times New Roman;serif"/>
                                <w:b w:val="false"/>
                                <w:color w:val="000000"/>
                                <w:sz w:val="20"/>
                              </w:rPr>
                              <w:t>2025</w:t>
                            </w:r>
                            <w:r>
                              <w:rPr>
                                <w:color w:val="000000"/>
                              </w:rPr>
                              <w:t xml:space="preserve"> </w:t>
                            </w:r>
                            <w:r>
                              <w:rPr>
                                <w:rFonts w:ascii="Times New Roman;serif" w:hAnsi="Times New Roman;serif"/>
                                <w:b w:val="false"/>
                                <w:color w:val="000000"/>
                                <w:sz w:val="19"/>
                              </w:rPr>
                              <w:t>Form 10-Q | 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Q3 </w:t>
                      </w:r>
                      <w:r>
                        <w:rPr>
                          <w:rFonts w:ascii="Times New Roman;serif" w:hAnsi="Times New Roman;serif"/>
                          <w:b w:val="false"/>
                          <w:color w:val="000000"/>
                          <w:sz w:val="20"/>
                        </w:rPr>
                        <w:t>2025</w:t>
                      </w:r>
                      <w:r>
                        <w:rPr>
                          <w:color w:val="000000"/>
                        </w:rPr>
                        <w:t xml:space="preserve"> </w:t>
                      </w:r>
                      <w:r>
                        <w:rPr>
                          <w:rFonts w:ascii="Times New Roman;serif" w:hAnsi="Times New Roman;serif"/>
                          <w:b w:val="false"/>
                          <w:color w:val="000000"/>
                          <w:sz w:val="19"/>
                        </w:rPr>
                        <w:t>Form 10-Q | 9</w:t>
                      </w:r>
                    </w:p>
                  </w:txbxContent>
                </v:textbox>
                <w10:wrap type="none"/>
              </v:rect>
            </w:pict>
          </mc:Fallback>
        </mc:AlternateContent>
      </w:r>
    </w:p>
    <w:p>
      <w:pPr>
        <w:pStyle w:val="TextBody"/>
        <w:bidi w:val="0"/>
        <w:spacing w:lineRule="auto" w:line="288" w:before="0" w:after="0"/>
        <w:jc w:val="left"/>
        <w:rPr/>
      </w:pPr>
      <w:hyperlink w:anchor="i004be9cfd92c48c78448e0b03d16957e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Concentration of Major Customers</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table below includes the percentage of revenues comprised by the Company’s three largest wholesalers in each period presented: </w:t>
      </w:r>
    </w:p>
    <w:tbl>
      <w:tblPr>
        <w:tblW w:w="6066" w:type="dxa"/>
        <w:jc w:val="left"/>
        <w:tblInd w:w="0" w:type="dxa"/>
        <w:tblLayout w:type="fixed"/>
        <w:tblCellMar>
          <w:top w:w="28" w:type="dxa"/>
          <w:left w:w="28" w:type="dxa"/>
          <w:bottom w:w="28" w:type="dxa"/>
          <w:right w:w="28" w:type="dxa"/>
        </w:tblCellMar>
      </w:tblPr>
      <w:tblGrid>
        <w:gridCol w:w="826"/>
        <w:gridCol w:w="725"/>
        <w:gridCol w:w="729"/>
        <w:gridCol w:w="195"/>
        <w:gridCol w:w="195"/>
        <w:gridCol w:w="195"/>
        <w:gridCol w:w="195"/>
        <w:gridCol w:w="195"/>
        <w:gridCol w:w="195"/>
        <w:gridCol w:w="195"/>
        <w:gridCol w:w="195"/>
        <w:gridCol w:w="195"/>
        <w:gridCol w:w="109"/>
        <w:gridCol w:w="109"/>
        <w:gridCol w:w="109"/>
        <w:gridCol w:w="181"/>
        <w:gridCol w:w="181"/>
        <w:gridCol w:w="181"/>
        <w:gridCol w:w="181"/>
        <w:gridCol w:w="181"/>
        <w:gridCol w:w="181"/>
        <w:gridCol w:w="181"/>
        <w:gridCol w:w="181"/>
        <w:gridCol w:w="256"/>
      </w:tblGrid>
      <w:tr>
        <w:trPr/>
        <w:tc>
          <w:tcPr>
            <w:tcW w:w="826"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w:t>
              <w:br/>
              <w:t>September 30,</w:t>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5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5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Largest wholesaler</w:t>
            </w:r>
          </w:p>
        </w:tc>
        <w:tc>
          <w:tcPr>
            <w:tcW w:w="5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w:t>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35%</w:t>
            </w:r>
          </w:p>
        </w:tc>
      </w:tr>
      <w:tr>
        <w:trPr/>
        <w:tc>
          <w:tcPr>
            <w:tcW w:w="2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Second largest wholesaler</w:t>
            </w:r>
          </w:p>
        </w:tc>
        <w:tc>
          <w:tcPr>
            <w:tcW w:w="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25%</w:t>
            </w:r>
          </w:p>
        </w:tc>
        <w:tc>
          <w:tcPr>
            <w:tcW w:w="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26%</w:t>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23%</w:t>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Third largest wholesaler</w:t>
            </w:r>
          </w:p>
        </w:tc>
        <w:tc>
          <w:tcPr>
            <w:tcW w:w="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w:t>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w:t>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w:t>
            </w:r>
          </w:p>
        </w:tc>
      </w:tr>
      <w:tr>
        <w:trPr/>
        <w:tc>
          <w:tcPr>
            <w:tcW w:w="2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w:t>
            </w:r>
          </w:p>
        </w:tc>
        <w:tc>
          <w:tcPr>
            <w:tcW w:w="585"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77%</w:t>
            </w:r>
          </w:p>
        </w:tc>
        <w:tc>
          <w:tcPr>
            <w:tcW w:w="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79%</w:t>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78%</w:t>
            </w:r>
          </w:p>
        </w:tc>
      </w:tr>
    </w:tbl>
    <w:p>
      <w:pPr>
        <w:pStyle w:val="TextBody"/>
        <w:bidi w:val="0"/>
        <w:spacing w:lineRule="auto" w:line="288" w:before="180" w:after="180"/>
        <w:jc w:val="left"/>
        <w:rPr>
          <w:rFonts w:ascii="Times New Roman;serif" w:hAnsi="Times New Roman;serif"/>
          <w:b w:val="false"/>
          <w:i/>
          <w:color w:val="000000"/>
          <w:sz w:val="20"/>
        </w:rPr>
      </w:pPr>
      <w:r>
        <w:rPr>
          <w:rFonts w:ascii="Times New Roman;serif" w:hAnsi="Times New Roman;serif"/>
          <w:b w:val="false"/>
          <w:i/>
          <w:color w:val="000000"/>
          <w:sz w:val="20"/>
        </w:rPr>
        <w:t>Recently Adopted Accounting Pronouncements</w:t>
      </w:r>
    </w:p>
    <w:p>
      <w:pPr>
        <w:pStyle w:val="TextBody"/>
        <w:bidi w:val="0"/>
        <w:spacing w:lineRule="auto" w:line="288" w:before="180" w:after="180"/>
        <w:ind w:left="0" w:right="0" w:firstLine="450"/>
        <w:jc w:val="left"/>
        <w:rPr/>
      </w:pPr>
      <w:r>
        <w:rPr>
          <w:rFonts w:ascii="Times New Roman;serif" w:hAnsi="Times New Roman;serif"/>
          <w:b w:val="false"/>
          <w:color w:val="000000"/>
          <w:sz w:val="20"/>
        </w:rPr>
        <w:t xml:space="preserve">In November 2023, the Financial Accounting Standards Board, or FASB, issued Accounting Standards Update, or ASU, 2023-07, </w:t>
      </w:r>
      <w:r>
        <w:rPr>
          <w:rFonts w:ascii="Times New Roman;serif" w:hAnsi="Times New Roman;serif"/>
          <w:b w:val="false"/>
          <w:i/>
          <w:color w:val="000000"/>
          <w:sz w:val="20"/>
        </w:rPr>
        <w:t>Segment Reporting (Topic 280), Improvements to Reportable Segment Disclosures.</w:t>
      </w:r>
      <w:r>
        <w:rPr>
          <w:color w:val="000000"/>
        </w:rPr>
        <w:t xml:space="preserve"> </w:t>
      </w:r>
      <w:r>
        <w:rPr>
          <w:rFonts w:ascii="Times New Roman;serif" w:hAnsi="Times New Roman;serif"/>
          <w:b w:val="false"/>
          <w:color w:val="000000"/>
          <w:sz w:val="20"/>
        </w:rPr>
        <w:t xml:space="preserve">The ASU amendment improves reportable segment disclosure requirements, primarily through enhanced disclosures about significant segment expenses on an interim and annual basis. The new segment disclosure requirements apply for entities with a single reportable segment. The Company adopted the standard for its interim and annual reporting which was applied retrospectively for all prior periods presented. The ASU’s amendment is effective for interim periods in fiscal years beginning after December 15, 2024. Refer to Note 17, </w:t>
      </w:r>
      <w:r>
        <w:rPr>
          <w:rFonts w:ascii="Times New Roman;serif" w:hAnsi="Times New Roman;serif"/>
          <w:b w:val="false"/>
          <w:i/>
          <w:color w:val="000000"/>
          <w:sz w:val="20"/>
        </w:rPr>
        <w:t>Segment Information</w:t>
      </w:r>
      <w:r>
        <w:rPr>
          <w:rFonts w:ascii="Times New Roman;serif" w:hAnsi="Times New Roman;serif"/>
          <w:b w:val="false"/>
          <w:color w:val="000000"/>
          <w:sz w:val="20"/>
        </w:rPr>
        <w:t>, for more information.</w:t>
      </w:r>
    </w:p>
    <w:p>
      <w:pPr>
        <w:pStyle w:val="TextBody"/>
        <w:bidi w:val="0"/>
        <w:spacing w:lineRule="auto" w:line="288" w:before="180" w:after="180"/>
        <w:jc w:val="left"/>
        <w:rPr>
          <w:rFonts w:ascii="Times New Roman;serif" w:hAnsi="Times New Roman;serif"/>
          <w:b w:val="false"/>
          <w:i/>
          <w:color w:val="000000"/>
          <w:sz w:val="20"/>
        </w:rPr>
      </w:pPr>
      <w:r>
        <w:rPr>
          <w:rFonts w:ascii="Times New Roman;serif" w:hAnsi="Times New Roman;serif"/>
          <w:b w:val="false"/>
          <w:i/>
          <w:color w:val="000000"/>
          <w:sz w:val="20"/>
        </w:rPr>
        <w:t>Recent Accounting Pronouncements Not Adopted as of September 30, 2025</w:t>
      </w:r>
    </w:p>
    <w:p>
      <w:pPr>
        <w:pStyle w:val="TextBody"/>
        <w:bidi w:val="0"/>
        <w:spacing w:lineRule="auto" w:line="288" w:before="180" w:after="200"/>
        <w:ind w:left="0" w:right="0" w:firstLine="450"/>
        <w:jc w:val="left"/>
        <w:rPr/>
      </w:pPr>
      <w:r>
        <w:rPr>
          <w:rFonts w:ascii="Times New Roman;serif" w:hAnsi="Times New Roman;serif"/>
          <w:b w:val="false"/>
          <w:color w:val="000000"/>
          <w:sz w:val="20"/>
        </w:rPr>
        <w:t xml:space="preserve">In December 2023, the FASB issued ASU 2023-09, </w:t>
      </w:r>
      <w:r>
        <w:rPr>
          <w:rFonts w:ascii="Times New Roman;serif" w:hAnsi="Times New Roman;serif"/>
          <w:b w:val="false"/>
          <w:i/>
          <w:color w:val="000000"/>
          <w:sz w:val="20"/>
        </w:rPr>
        <w:t>Income Taxes (Topic 740), Improvements to Income Tax Disclosures</w:t>
      </w:r>
      <w:r>
        <w:rPr>
          <w:rFonts w:ascii="Times New Roman;serif" w:hAnsi="Times New Roman;serif"/>
          <w:b w:val="false"/>
          <w:color w:val="000000"/>
          <w:sz w:val="20"/>
        </w:rPr>
        <w:t>. The ASU amendment addresses investor requests for more transparency about income tax information through improvements to income tax disclosures primarily related to the rate reconciliation and income taxes paid information. The ASU’s amendments are effective for fiscal years beginning after December 15, 2024 and may be adopted on a prospective or retrospective basis. The Company is currently evaluating the impact of adopting ASU 2023-09 on its consolidated financial statements.</w:t>
      </w:r>
    </w:p>
    <w:p>
      <w:pPr>
        <w:pStyle w:val="TextBody"/>
        <w:bidi w:val="0"/>
        <w:spacing w:lineRule="auto" w:line="288" w:before="180" w:after="200"/>
        <w:ind w:left="0" w:right="0" w:firstLine="450"/>
        <w:jc w:val="left"/>
        <w:rPr/>
      </w:pPr>
      <w:r>
        <w:rPr>
          <w:rFonts w:ascii="Times New Roman;serif" w:hAnsi="Times New Roman;serif"/>
          <w:b w:val="false"/>
          <w:color w:val="000000"/>
          <w:sz w:val="20"/>
        </w:rPr>
        <w:t xml:space="preserve">In November 2024, the FASB issued ASU 2024-03, </w:t>
      </w:r>
      <w:r>
        <w:rPr>
          <w:rFonts w:ascii="Times New Roman;serif" w:hAnsi="Times New Roman;serif"/>
          <w:b w:val="false"/>
          <w:i/>
          <w:color w:val="000000"/>
          <w:sz w:val="20"/>
        </w:rPr>
        <w:t>Income Statement—Reporting Comprehensive Income—Expense Disaggregation Disclosures (Subtopic 220-40), Disaggregation of Income Statement Expenses</w:t>
      </w:r>
      <w:r>
        <w:rPr>
          <w:rFonts w:ascii="Times New Roman;serif" w:hAnsi="Times New Roman;serif"/>
          <w:b w:val="false"/>
          <w:color w:val="000000"/>
          <w:sz w:val="20"/>
        </w:rPr>
        <w:t>. The ASU amendment improves financial reporting by requiring public business entities to disclose additional information about specific expense categories in the notes to financial statements at interim and annual reporting periods. The ASU’s amendments are effective for annual reporting periods beginning after December 31, 2026 and interim periods beginning after December 15, 2027, with early adoption permitted. This ASU amendment can be applied on a prospective basis or retrospectively. The Company is currently evaluating the impact of adopting ASU 2024-03 on its footnote disclosures.</w:t>
      </w:r>
    </w:p>
    <w:p>
      <w:pPr>
        <w:pStyle w:val="TextBody"/>
        <w:bidi w:val="0"/>
        <w:spacing w:lineRule="auto" w:line="288" w:before="180" w:after="200"/>
        <w:ind w:left="0" w:right="0" w:firstLine="450"/>
        <w:jc w:val="left"/>
        <w:rPr/>
      </w:pPr>
      <w:r>
        <w:rPr>
          <w:rFonts w:ascii="Times New Roman;serif" w:hAnsi="Times New Roman;serif"/>
          <w:b w:val="false"/>
          <w:color w:val="000000"/>
          <w:sz w:val="20"/>
        </w:rPr>
        <w:t xml:space="preserve">In September 2025, the FASB issued ASU 2025-06, </w:t>
      </w:r>
      <w:r>
        <w:rPr>
          <w:rFonts w:ascii="Times New Roman;serif" w:hAnsi="Times New Roman;serif"/>
          <w:b w:val="false"/>
          <w:i/>
          <w:color w:val="000000"/>
          <w:sz w:val="20"/>
        </w:rPr>
        <w:t>Intangibles—Goodwill and Other—Internal-Use Software (Subtopic 350-40), Targeted Improvements to the Accounting for Internal-Use Software</w:t>
      </w:r>
      <w:r>
        <w:rPr>
          <w:rFonts w:ascii="Times New Roman;serif" w:hAnsi="Times New Roman;serif"/>
          <w:b w:val="false"/>
          <w:color w:val="000000"/>
          <w:sz w:val="20"/>
        </w:rPr>
        <w:t>. The ASU amendment removed all references to prescriptive and sequential software development stages (referred to as project stages) throughout Subtopic 350-40. This had been replaced by the requirement to start capitalizing software costs when both of the following occur: (i) management has authorized and committed to funding a software project, and (ii) it is probable that the project will be completed and the software will be used to perform the function intended (referred to as the “probable-to-complete recognition threshold”). The ASU’s amendments are effective for fiscal years beginning after December 15, 2027, and interim reporting periods within those annual reporting periods. The ASU’s amendments may be adopted on a prospective, modified transition approach that is based on the status of a current project and whether software costs were capitalized before the date of adoption or retrospective basis. The Company is currently evaluating the impact of adopting ASU 2025-06 on its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NOTE 3—GQ BIO THERAPEUTICS ACQUISITION</w:t>
      </w:r>
    </w:p>
    <w:p>
      <w:pPr>
        <w:pStyle w:val="TextBody"/>
        <w:bidi w:val="0"/>
        <w:spacing w:lineRule="auto" w:line="288"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On February 27, 2025, Pacira Therapeutics, Inc., a wholly-owned subsidiary of the Company, executed a securities purchase agreement to acquire the remaining 81% of GQ Bio for $30.6 million, net of working capital adjustments. Prior to the GQ Bio Acquisition, the Company owned approximately 19% of GQ Bio. </w:t>
      </w:r>
    </w:p>
    <w:p>
      <w:pPr>
        <w:pStyle w:val="TextBody"/>
        <w:bidi w:val="0"/>
        <w:spacing w:lineRule="auto" w:line="288"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Included in the securities purchase agreement is $7.8 million related to two employees’ payments to be recognized and paid over three years pursuant to a key employee holdback agreement in increments of 50%, 30% and 20% at each year’s respective anniversary. During the three and nine months ended September 30, 2025, the Company accrued key employee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2"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Q3 </w:t>
                            </w:r>
                            <w:r>
                              <w:rPr>
                                <w:rFonts w:ascii="Times New Roman;serif" w:hAnsi="Times New Roman;serif"/>
                                <w:b w:val="false"/>
                                <w:color w:val="000000"/>
                                <w:sz w:val="20"/>
                              </w:rPr>
                              <w:t>2025</w:t>
                            </w:r>
                            <w:r>
                              <w:rPr>
                                <w:color w:val="000000"/>
                              </w:rPr>
                              <w:t xml:space="preserve"> </w:t>
                            </w:r>
                            <w:r>
                              <w:rPr>
                                <w:rFonts w:ascii="Times New Roman;serif" w:hAnsi="Times New Roman;serif"/>
                                <w:b w:val="false"/>
                                <w:color w:val="000000"/>
                                <w:sz w:val="19"/>
                              </w:rPr>
                              <w:t>Form 10-Q | 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Q3 </w:t>
                      </w:r>
                      <w:r>
                        <w:rPr>
                          <w:rFonts w:ascii="Times New Roman;serif" w:hAnsi="Times New Roman;serif"/>
                          <w:b w:val="false"/>
                          <w:color w:val="000000"/>
                          <w:sz w:val="20"/>
                        </w:rPr>
                        <w:t>2025</w:t>
                      </w:r>
                      <w:r>
                        <w:rPr>
                          <w:color w:val="000000"/>
                        </w:rPr>
                        <w:t xml:space="preserve"> </w:t>
                      </w:r>
                      <w:r>
                        <w:rPr>
                          <w:rFonts w:ascii="Times New Roman;serif" w:hAnsi="Times New Roman;serif"/>
                          <w:b w:val="false"/>
                          <w:color w:val="000000"/>
                          <w:sz w:val="19"/>
                        </w:rPr>
                        <w:t>Form 10-Q | 10</w:t>
                      </w:r>
                    </w:p>
                  </w:txbxContent>
                </v:textbox>
                <w10:wrap type="none"/>
              </v:rect>
            </w:pict>
          </mc:Fallback>
        </mc:AlternateContent>
      </w:r>
    </w:p>
    <w:p>
      <w:pPr>
        <w:pStyle w:val="TextBody"/>
        <w:bidi w:val="0"/>
        <w:spacing w:lineRule="auto" w:line="288" w:before="0" w:after="0"/>
        <w:jc w:val="left"/>
        <w:rPr/>
      </w:pPr>
      <w:hyperlink w:anchor="i004be9cfd92c48c78448e0b03d16957e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180"/>
        <w:jc w:val="left"/>
        <w:rPr/>
      </w:pPr>
      <w:r>
        <w:rPr>
          <w:rFonts w:ascii="Times New Roman;serif" w:hAnsi="Times New Roman;serif"/>
          <w:b w:val="false"/>
          <w:color w:val="000000"/>
          <w:sz w:val="20"/>
        </w:rPr>
        <w:t>holdback expenses of $1.2 million and</w:t>
      </w:r>
      <w:r>
        <w:rPr>
          <w:color w:val="212529"/>
        </w:rPr>
        <w:t xml:space="preserve"> </w:t>
      </w:r>
      <w:r>
        <w:rPr>
          <w:rFonts w:ascii="Times New Roman;serif" w:hAnsi="Times New Roman;serif"/>
          <w:b w:val="false"/>
          <w:color w:val="000000"/>
          <w:sz w:val="20"/>
        </w:rPr>
        <w:t>$2.6 million, respectively. The key employee holdback is subject to continued employment, and therefore the accrued payments are recognized as research and development expense within the condensed consolidated statements of operations.</w:t>
      </w:r>
    </w:p>
    <w:p>
      <w:pPr>
        <w:pStyle w:val="TextBody"/>
        <w:bidi w:val="0"/>
        <w:spacing w:lineRule="auto" w:line="288"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GQ Bio was a privately-held biopharmaceutical company with a novel, high-capacity, local-delivery platform that makes genetic medicines more efficient and enables the use of large and multiple gene constructs. PCRX-201 is the lead program from this platform. By acquiring GQ Bio, the Company benefits from further developing PCRX-201 and the cost savings associated with no longer being obligated to make milestone and royalty payments, as well as establishing a research and development engine with a dedicated workforce focused on this next-generation of genetic medicine and acquiring a portfolio of preclinical assets.</w:t>
      </w:r>
    </w:p>
    <w:p>
      <w:pPr>
        <w:pStyle w:val="TextBody"/>
        <w:bidi w:val="0"/>
        <w:spacing w:lineRule="auto" w:line="288"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reconciles the purchase price for the remaining 81% ownership to the total fair value of the GQ Bio Acquisition (in thousands): </w:t>
      </w:r>
    </w:p>
    <w:tbl>
      <w:tblPr>
        <w:tblW w:w="8582" w:type="dxa"/>
        <w:jc w:val="left"/>
        <w:tblInd w:w="0" w:type="dxa"/>
        <w:tblLayout w:type="fixed"/>
        <w:tblCellMar>
          <w:top w:w="28" w:type="dxa"/>
          <w:left w:w="28" w:type="dxa"/>
          <w:bottom w:w="28" w:type="dxa"/>
          <w:right w:w="28" w:type="dxa"/>
        </w:tblCellMar>
      </w:tblPr>
      <w:tblGrid>
        <w:gridCol w:w="2594"/>
        <w:gridCol w:w="2281"/>
        <w:gridCol w:w="2294"/>
        <w:gridCol w:w="109"/>
        <w:gridCol w:w="109"/>
        <w:gridCol w:w="109"/>
        <w:gridCol w:w="211"/>
        <w:gridCol w:w="721"/>
        <w:gridCol w:w="154"/>
      </w:tblGrid>
      <w:tr>
        <w:trPr/>
        <w:tc>
          <w:tcPr>
            <w:tcW w:w="2594" w:type="dxa"/>
            <w:tcBorders/>
            <w:vAlign w:val="center"/>
          </w:tcPr>
          <w:p>
            <w:pPr>
              <w:pStyle w:val="TableContents"/>
              <w:bidi w:val="0"/>
              <w:spacing w:before="0" w:after="283"/>
              <w:jc w:val="left"/>
              <w:rPr>
                <w:sz w:val="4"/>
                <w:szCs w:val="4"/>
              </w:rPr>
            </w:pPr>
            <w:r>
              <w:rPr>
                <w:sz w:val="4"/>
                <w:szCs w:val="4"/>
              </w:rPr>
            </w:r>
          </w:p>
        </w:tc>
        <w:tc>
          <w:tcPr>
            <w:tcW w:w="2281" w:type="dxa"/>
            <w:tcBorders/>
            <w:vAlign w:val="center"/>
          </w:tcPr>
          <w:p>
            <w:pPr>
              <w:pStyle w:val="TableContents"/>
              <w:bidi w:val="0"/>
              <w:spacing w:before="0" w:after="283"/>
              <w:jc w:val="left"/>
              <w:rPr>
                <w:sz w:val="4"/>
                <w:szCs w:val="4"/>
              </w:rPr>
            </w:pPr>
            <w:r>
              <w:rPr>
                <w:sz w:val="4"/>
                <w:szCs w:val="4"/>
              </w:rPr>
            </w:r>
          </w:p>
        </w:tc>
        <w:tc>
          <w:tcPr>
            <w:tcW w:w="22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Fair Value of Purchase Price Consideration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r>
      <w:tr>
        <w:trPr/>
        <w:tc>
          <w:tcPr>
            <w:tcW w:w="71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consideration paid at closing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17,604 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Indemnification holdback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payment of GQ Bio Acquisition transaction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Settlement of previously invested note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Settlement of pre-existing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Purchase price consideration of 81% of GQ Bio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30,576 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Prior 19% equity investment ownership of GQ Bio realized upon business combination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fair value of the GQ Bio Acquisition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38,891 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left"/>
        <w:rPr/>
      </w:pPr>
      <w:r>
        <w:rPr>
          <w:rFonts w:ascii="Times New Roman;serif" w:hAnsi="Times New Roman;serif"/>
          <w:b w:val="false"/>
          <w:color w:val="000000"/>
          <w:sz w:val="20"/>
        </w:rPr>
        <w:t xml:space="preserve">The Company has accounted for the GQ Bio Acquisition using the acquisition method of accounting and, accordingly, has included the assets acquired, liabilities assumed and results of operations in its condensed consolidated financial statements from the acquisition date of February 27, 2025. A $5.7 million indemnification holdback established for potential unidentified liabilities will be settled within 18 months from the acquisition date. In conjunction with the GQ Bio Acquisition, the settlement of the Company’s prior equity investment and notes receivable in GQ Bio were part of the fair value of consideration exchanged. See Note 10, </w:t>
      </w:r>
      <w:r>
        <w:rPr>
          <w:rFonts w:ascii="Times New Roman;serif" w:hAnsi="Times New Roman;serif"/>
          <w:b w:val="false"/>
          <w:i/>
          <w:color w:val="000000"/>
          <w:sz w:val="20"/>
        </w:rPr>
        <w:t>Financial Instruments</w:t>
      </w:r>
      <w:r>
        <w:rPr>
          <w:rFonts w:ascii="Times New Roman;serif" w:hAnsi="Times New Roman;serif"/>
          <w:b w:val="false"/>
          <w:color w:val="000000"/>
          <w:sz w:val="20"/>
        </w:rPr>
        <w:t>, for additional information.</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preliminary purchase price allocation is based on estimates, assumptions, valuations and other studies which have not yet been finalized. Prior to the finalization of the purchase price allocation, if information becomes available that would indicate it is probable that unknown events had occurred and the amounts can be reasonably estimated, such items will be included in the final purchase price allocation and may change the carrying value of goodwill. The Company is finalizing its valuation of liabilities and tax analyses, and anticipates finalizing the purchase price allocation as the information necessary to complete the analysis is obtained, but no later than one year after the acquisition date.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3"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Q3 </w:t>
                            </w:r>
                            <w:r>
                              <w:rPr>
                                <w:rFonts w:ascii="Times New Roman;serif" w:hAnsi="Times New Roman;serif"/>
                                <w:b w:val="false"/>
                                <w:color w:val="000000"/>
                                <w:sz w:val="20"/>
                              </w:rPr>
                              <w:t>2025</w:t>
                            </w:r>
                            <w:r>
                              <w:rPr>
                                <w:color w:val="000000"/>
                              </w:rPr>
                              <w:t xml:space="preserve"> </w:t>
                            </w:r>
                            <w:r>
                              <w:rPr>
                                <w:rFonts w:ascii="Times New Roman;serif" w:hAnsi="Times New Roman;serif"/>
                                <w:b w:val="false"/>
                                <w:color w:val="000000"/>
                                <w:sz w:val="19"/>
                              </w:rPr>
                              <w:t>Form 10-Q | 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Q3 </w:t>
                      </w:r>
                      <w:r>
                        <w:rPr>
                          <w:rFonts w:ascii="Times New Roman;serif" w:hAnsi="Times New Roman;serif"/>
                          <w:b w:val="false"/>
                          <w:color w:val="000000"/>
                          <w:sz w:val="20"/>
                        </w:rPr>
                        <w:t>2025</w:t>
                      </w:r>
                      <w:r>
                        <w:rPr>
                          <w:color w:val="000000"/>
                        </w:rPr>
                        <w:t xml:space="preserve"> </w:t>
                      </w:r>
                      <w:r>
                        <w:rPr>
                          <w:rFonts w:ascii="Times New Roman;serif" w:hAnsi="Times New Roman;serif"/>
                          <w:b w:val="false"/>
                          <w:color w:val="000000"/>
                          <w:sz w:val="19"/>
                        </w:rPr>
                        <w:t>Form 10-Q | 11</w:t>
                      </w:r>
                    </w:p>
                  </w:txbxContent>
                </v:textbox>
                <w10:wrap type="none"/>
              </v:rect>
            </w:pict>
          </mc:Fallback>
        </mc:AlternateContent>
      </w:r>
    </w:p>
    <w:p>
      <w:pPr>
        <w:pStyle w:val="TextBody"/>
        <w:bidi w:val="0"/>
        <w:spacing w:lineRule="auto" w:line="288" w:before="0" w:after="0"/>
        <w:jc w:val="left"/>
        <w:rPr/>
      </w:pPr>
      <w:hyperlink w:anchor="i004be9cfd92c48c78448e0b03d16957e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tables set forth the preliminary allocation of the GQ Bio Acquisition purchase price to the estimated fair value of the net assets acquired at the acquisition date (in thousands):</w:t>
      </w:r>
    </w:p>
    <w:tbl>
      <w:tblPr>
        <w:tblW w:w="10205" w:type="dxa"/>
        <w:jc w:val="left"/>
        <w:tblInd w:w="0" w:type="dxa"/>
        <w:tblLayout w:type="fixed"/>
        <w:tblCellMar>
          <w:top w:w="28" w:type="dxa"/>
          <w:left w:w="28" w:type="dxa"/>
          <w:bottom w:w="28" w:type="dxa"/>
          <w:right w:w="28" w:type="dxa"/>
        </w:tblCellMar>
      </w:tblPr>
      <w:tblGrid>
        <w:gridCol w:w="1004"/>
        <w:gridCol w:w="787"/>
        <w:gridCol w:w="791"/>
        <w:gridCol w:w="109"/>
        <w:gridCol w:w="109"/>
        <w:gridCol w:w="109"/>
        <w:gridCol w:w="463"/>
        <w:gridCol w:w="1583"/>
        <w:gridCol w:w="239"/>
        <w:gridCol w:w="109"/>
        <w:gridCol w:w="109"/>
        <w:gridCol w:w="109"/>
        <w:gridCol w:w="542"/>
        <w:gridCol w:w="1199"/>
        <w:gridCol w:w="281"/>
        <w:gridCol w:w="109"/>
        <w:gridCol w:w="109"/>
        <w:gridCol w:w="109"/>
        <w:gridCol w:w="452"/>
        <w:gridCol w:w="1547"/>
        <w:gridCol w:w="336"/>
      </w:tblGrid>
      <w:tr>
        <w:trPr/>
        <w:tc>
          <w:tcPr>
            <w:tcW w:w="1004"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1583"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r>
      <w:tr>
        <w:trPr/>
        <w:tc>
          <w:tcPr>
            <w:tcW w:w="2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 xml:space="preserve">Amounts Recognized at the Acquisition Date </w:t>
            </w:r>
          </w:p>
          <w:p>
            <w:pPr>
              <w:pStyle w:val="TableContents"/>
              <w:bidi w:val="0"/>
              <w:spacing w:lineRule="auto" w:line="240" w:before="0" w:after="0"/>
              <w:jc w:val="center"/>
              <w:rPr/>
            </w:pPr>
            <w:r>
              <w:rPr>
                <w:rFonts w:ascii="Times New Roman;serif" w:hAnsi="Times New Roman;serif"/>
                <w:b/>
                <w:color w:val="000000"/>
                <w:sz w:val="18"/>
              </w:rPr>
              <w:t xml:space="preserve">(as Previously Reported) </w:t>
            </w:r>
            <w:r>
              <w:rPr>
                <w:rFonts w:ascii="Times New Roman;serif" w:hAnsi="Times New Roman;serif"/>
                <w:b/>
                <w:color w:val="000000"/>
                <w:sz w:val="12"/>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2"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Measurement Period Adjustments </w:t>
            </w:r>
            <w:r>
              <w:rPr>
                <w:rFonts w:ascii="Times New Roman;serif" w:hAnsi="Times New Roman;serif"/>
                <w:b/>
                <w:color w:val="000000"/>
                <w:sz w:val="12"/>
              </w:rP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Amounts Recognized at the Acquisition Date </w:t>
              <w:br/>
              <w:t>(as Adjusted)</w:t>
            </w:r>
          </w:p>
        </w:tc>
      </w:tr>
      <w:tr>
        <w:trPr/>
        <w:tc>
          <w:tcPr>
            <w:tcW w:w="25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 ACQUIRED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1,884 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1,884 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Fixed assets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1,374 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1,374 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In-process research and development (IPR&amp;D)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22,500 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22,500 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27,198 </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383 </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27,581 </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ASSUMED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1,037 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998 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35" w:type="dxa"/>
            <w:gridSpan w:val="3"/>
            <w:tcBorders/>
            <w:vAlign w:val="center"/>
          </w:tcPr>
          <w:p>
            <w:pPr>
              <w:pStyle w:val="TableContents"/>
              <w:bidi w:val="0"/>
              <w:spacing w:before="0" w:after="283"/>
              <w:jc w:val="left"/>
              <w:rPr>
                <w:sz w:val="4"/>
                <w:szCs w:val="4"/>
              </w:rPr>
            </w:pPr>
            <w:r>
              <w:rPr>
                <w:sz w:val="4"/>
                <w:szCs w:val="4"/>
              </w:rPr>
            </w:r>
          </w:p>
        </w:tc>
      </w:tr>
      <w:tr>
        <w:trPr/>
        <w:tc>
          <w:tcPr>
            <w:tcW w:w="25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1,374 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1,374 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6,750 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(2,664)</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4,086 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9,301 </w:t>
            </w:r>
          </w:p>
        </w:tc>
        <w:tc>
          <w:tcPr>
            <w:tcW w:w="2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(2,512)</w:t>
            </w:r>
          </w:p>
        </w:tc>
        <w:tc>
          <w:tcPr>
            <w:tcW w:w="2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6,789 </w:t>
            </w:r>
          </w:p>
        </w:tc>
        <w:tc>
          <w:tcPr>
            <w:tcW w:w="3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identifiable net assets acquired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17,897 </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2,895 </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20,792 </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Goodwill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20,763 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(2,664)</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18,099 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fair value of the GQ Bio Acquisition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38,660 </w:t>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231 </w:t>
            </w:r>
          </w:p>
        </w:tc>
        <w:tc>
          <w:tcPr>
            <w:tcW w:w="2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38,891 </w:t>
            </w:r>
          </w:p>
        </w:tc>
        <w:tc>
          <w:tcPr>
            <w:tcW w:w="3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5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3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17"/>
        </w:rPr>
      </w:pPr>
      <w:r>
        <w:rPr>
          <w:rFonts w:ascii="Times New Roman;serif" w:hAnsi="Times New Roman;serif"/>
          <w:b w:val="false"/>
          <w:color w:val="000000"/>
          <w:sz w:val="17"/>
        </w:rPr>
        <w:t>(a) As previously reported in the Company’s Quarterly Report on Form 10-Q for the period ended March 31, 2025.</w:t>
      </w:r>
    </w:p>
    <w:p>
      <w:pPr>
        <w:pStyle w:val="TextBody"/>
        <w:bidi w:val="0"/>
        <w:spacing w:lineRule="auto" w:line="288" w:before="0" w:after="0"/>
        <w:jc w:val="left"/>
        <w:rPr>
          <w:rFonts w:ascii="Times New Roman;serif" w:hAnsi="Times New Roman;serif"/>
          <w:b w:val="false"/>
          <w:color w:val="000000"/>
          <w:sz w:val="17"/>
        </w:rPr>
      </w:pPr>
      <w:r>
        <w:rPr>
          <w:rFonts w:ascii="Times New Roman;serif" w:hAnsi="Times New Roman;serif"/>
          <w:b w:val="false"/>
          <w:color w:val="000000"/>
          <w:sz w:val="17"/>
        </w:rPr>
        <w:t>(b) Represents an adjustment to a deferred tax liability, unrecorded liabilities related to pre-acquisition expenses that were paid by the Company in 2025.</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acquired identifiable in-process research and development, or IPR&amp;D, assets were valued from a market participants’ perspective using a multi-period excess earnings methodology (income approach). The IPR&amp;D asset relates to further developing PCRX-201 and the cost savings associated with milestone and royalty payments. The projected cash flows for this IPR&amp;D asset were adjusted for the probability of successful development and commercialization, and were discounted at 20.0%.</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excess of the purchase price over the fair value of identifiable net assets acquired represents goodwill. This goodwill is primarily attributable to the value in establishing a research and development engine focused on supporting products akin to PCRX-201, assembling a dedicated workforce within a niche industry, obtained preclinical assets, as well as the synergies of merging operations. The acquired goodwill and IPR&amp;D intangible asset are currently not deductible for tax purposes. However, the Company is considering certain tax elections that would allow for the future deduction of the acquired goodwill and IPR&amp;D intangible asset. During the nine months ended September 30, 2025, GQ Bio did not earn any revenue.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NOTE 4—REVENUE</w:t>
      </w:r>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Revenue from Contracts with Customers</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net product sales consist of (i) EXPAREL in the U.S., the European Union, or E.U., and the U.K.; (ii) ZILRETTA in the U.S.; (iii) iovera° in the U.S., Canada, the E.U., and the U.K. and (iv) sales of its bupivacaine liposome injectable suspension for veterinary use. Royalty revenues are related to a collaborative licensing agreement from the sale of the Company’s bupivacaine liposome injectable suspension for veterinary use. The Company does not consider revenue from sources other than sales of EXPAREL and ZILRETTA to be material sources of its consolidated revenue. As such, the following disclosure is limited to revenue associated with net product sales of EXPAREL and ZILRETTA.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14"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Q3 </w:t>
                            </w:r>
                            <w:r>
                              <w:rPr>
                                <w:rFonts w:ascii="Times New Roman;serif" w:hAnsi="Times New Roman;serif"/>
                                <w:b w:val="false"/>
                                <w:color w:val="000000"/>
                                <w:sz w:val="20"/>
                              </w:rPr>
                              <w:t>2025</w:t>
                            </w:r>
                            <w:r>
                              <w:rPr>
                                <w:color w:val="000000"/>
                              </w:rPr>
                              <w:t xml:space="preserve"> </w:t>
                            </w:r>
                            <w:r>
                              <w:rPr>
                                <w:rFonts w:ascii="Times New Roman;serif" w:hAnsi="Times New Roman;serif"/>
                                <w:b w:val="false"/>
                                <w:color w:val="000000"/>
                                <w:sz w:val="19"/>
                              </w:rPr>
                              <w:t>Form 10-Q | 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Q3 </w:t>
                      </w:r>
                      <w:r>
                        <w:rPr>
                          <w:rFonts w:ascii="Times New Roman;serif" w:hAnsi="Times New Roman;serif"/>
                          <w:b w:val="false"/>
                          <w:color w:val="000000"/>
                          <w:sz w:val="20"/>
                        </w:rPr>
                        <w:t>2025</w:t>
                      </w:r>
                      <w:r>
                        <w:rPr>
                          <w:color w:val="000000"/>
                        </w:rPr>
                        <w:t xml:space="preserve"> </w:t>
                      </w:r>
                      <w:r>
                        <w:rPr>
                          <w:rFonts w:ascii="Times New Roman;serif" w:hAnsi="Times New Roman;serif"/>
                          <w:b w:val="false"/>
                          <w:color w:val="000000"/>
                          <w:sz w:val="19"/>
                        </w:rPr>
                        <w:t>Form 10-Q | 12</w:t>
                      </w:r>
                    </w:p>
                  </w:txbxContent>
                </v:textbox>
                <w10:wrap type="none"/>
              </v:rect>
            </w:pict>
          </mc:Fallback>
        </mc:AlternateContent>
      </w:r>
    </w:p>
    <w:p>
      <w:pPr>
        <w:pStyle w:val="TextBody"/>
        <w:bidi w:val="0"/>
        <w:spacing w:lineRule="auto" w:line="288" w:before="0" w:after="0"/>
        <w:jc w:val="left"/>
        <w:rPr/>
      </w:pPr>
      <w:hyperlink w:anchor="i004be9cfd92c48c78448e0b03d16957e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Net Product Sales</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 sells EXPAREL through a drop-ship program under which orders are processed through wholesalers based on orders of the product placed by end-users, namely hospitals, ambulatory surgery centers and healthcare provider offices. EXPAREL is delivered directly to the end-user without the wholesaler ever taking physical possession of the product. The Company primarily sells ZILRETTA to specialty distributors and specialty pharmacies, who then subsequently resell ZILRETTA to physicians, clinics and certain medical centers or hospitals. The Company also contracts directly with healthcare providers and intermediaries such as group purchasing organizations, or GPOs. Product revenue is recognized when control of the promised goods are transferred to the customer, in an amount that reflects the consideration the Company expects to be entitled to in exchange for transferring those goods. EXPAREL and ZILRETTA revenue is recorded at the time the products are transferred to the customer.</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Revenues from sales of products are recorded net of returns allowances, prompt payment discounts, service fees, government rebates, volume rebates and chargebacks. These reserves are based on estimates of the amounts earned or to be claimed on the related sales. These amounts are treated as variable consideration, estimated and recognized as a reduction of the transaction price at the time of the sale, using the most likely amount method, except for returns, which is based on the expected value method. The Company includes these estimated amounts in the transaction price to the extent it is probable that a significant reversal of cumulative revenue recognized for such transaction will not occur, or when the uncertainty associated with the variable consideration is resolved.</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Chargebacks for fees and discounts represent the estimated obligations resulting from contractual commitments to sell products to Department of Veteran Affairs hospitals, participating GPO members, 340B qualified entities and other contracted customers at prices lower than the list price. The 340B Drug Discount Program is a U.S. federal government program that requires participating drug manufacturers to provide outpatient drugs to eligible health care organizations and covered entities at reduced prices. Customers claim the difference between the amount invoiced and the discounted selling price through a chargeback issued by a wholesaler. Reserves are established in the same period that the related revenue is recognized, resulting in a reduction of product revenue and trade receivables, net. Chargeback amounts are determined at the time of sale and the Company generally issues credits for such amounts within weeks of receiving notification from a wholesaler. Reserves for chargebacks consist of anticipated credits the Company expects to issue based on expected units sold and chargebacks that customers have claimed for which credits have not yet been issued.</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calculation for some of these items requires management to make estimates based on sales data, historical return data, contracts, statutory requirements and other related information that may become known in the future. The adequacy of these provisions is reviewed on a quarterly basis.</w:t>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Accounts Receivable</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majority of accounts receivable arise from product sales and represent amounts due from wholesalers, hospitals, ambulatory surgery centers, specialty distributors, specialty pharmacies and individual physicians. Payment terms generally range from zero to four months from the date of the transaction, and accordingly, there is no significant financing component.</w:t>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Performance Obligations</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 performance obligation is a promise in a contract to transfer a distinct good or service to the customer and is the unit of account in Accounting Standards Codification, or ASC, 606. A contract’s transaction price is allocated to each distinct performance obligation and recognized as revenue when, or as, the performance obligation is satisfied.</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At contract inception, the Company assesses the goods promised in its contracts with customers and identifies a performance obligation for each promise to transfer to the customer a good that is distinct. When identifying individual performance obligations, the Company considers all goods promised in the contract regardless of whether explicitly stated in the customer contract or implied by customary business practices. The Company’s contracts with customers require it to transfer an individual distinct product, which represents a single performance obligation. The Company’s performance obligation with respect to its product sales is satisfied at a point in time, which transfers control upon delivery of EXPAREL and ZILRETTA to its customers. The Company considers control to have transferred upon delivery because the customer has legal title to the asset, physical possession of the asset has been transferred, the customer has significant risks and rewards of ownership of the asset and the Company has a present right to payment at that time.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15"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Q3 </w:t>
                            </w:r>
                            <w:r>
                              <w:rPr>
                                <w:rFonts w:ascii="Times New Roman;serif" w:hAnsi="Times New Roman;serif"/>
                                <w:b w:val="false"/>
                                <w:color w:val="000000"/>
                                <w:sz w:val="20"/>
                              </w:rPr>
                              <w:t>2025</w:t>
                            </w:r>
                            <w:r>
                              <w:rPr>
                                <w:color w:val="000000"/>
                              </w:rPr>
                              <w:t xml:space="preserve"> </w:t>
                            </w:r>
                            <w:r>
                              <w:rPr>
                                <w:rFonts w:ascii="Times New Roman;serif" w:hAnsi="Times New Roman;serif"/>
                                <w:b w:val="false"/>
                                <w:color w:val="000000"/>
                                <w:sz w:val="19"/>
                              </w:rPr>
                              <w:t>Form 10-Q | 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Q3 </w:t>
                      </w:r>
                      <w:r>
                        <w:rPr>
                          <w:rFonts w:ascii="Times New Roman;serif" w:hAnsi="Times New Roman;serif"/>
                          <w:b w:val="false"/>
                          <w:color w:val="000000"/>
                          <w:sz w:val="20"/>
                        </w:rPr>
                        <w:t>2025</w:t>
                      </w:r>
                      <w:r>
                        <w:rPr>
                          <w:color w:val="000000"/>
                        </w:rPr>
                        <w:t xml:space="preserve"> </w:t>
                      </w:r>
                      <w:r>
                        <w:rPr>
                          <w:rFonts w:ascii="Times New Roman;serif" w:hAnsi="Times New Roman;serif"/>
                          <w:b w:val="false"/>
                          <w:color w:val="000000"/>
                          <w:sz w:val="19"/>
                        </w:rPr>
                        <w:t>Form 10-Q | 13</w:t>
                      </w:r>
                    </w:p>
                  </w:txbxContent>
                </v:textbox>
                <w10:wrap type="none"/>
              </v:rect>
            </w:pict>
          </mc:Fallback>
        </mc:AlternateContent>
      </w:r>
    </w:p>
    <w:p>
      <w:pPr>
        <w:pStyle w:val="TextBody"/>
        <w:bidi w:val="0"/>
        <w:spacing w:lineRule="auto" w:line="288" w:before="0" w:after="0"/>
        <w:jc w:val="left"/>
        <w:rPr/>
      </w:pPr>
      <w:hyperlink w:anchor="i004be9cfd92c48c78448e0b03d16957e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Disaggregated Revenue</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represents disaggregated net product sales in the periods presented as follows (in thousands):</w:t>
      </w:r>
    </w:p>
    <w:tbl>
      <w:tblPr>
        <w:tblW w:w="9540" w:type="dxa"/>
        <w:jc w:val="left"/>
        <w:tblInd w:w="0" w:type="dxa"/>
        <w:tblLayout w:type="fixed"/>
        <w:tblCellMar>
          <w:top w:w="28" w:type="dxa"/>
          <w:left w:w="28" w:type="dxa"/>
          <w:bottom w:w="28" w:type="dxa"/>
          <w:right w:w="28" w:type="dxa"/>
        </w:tblCellMar>
      </w:tblPr>
      <w:tblGrid>
        <w:gridCol w:w="1423"/>
        <w:gridCol w:w="1251"/>
        <w:gridCol w:w="1256"/>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1423"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w:t>
              <w:br/>
              <w:t>September 30,</w:t>
            </w:r>
          </w:p>
        </w:tc>
      </w:tr>
      <w:tr>
        <w:trPr/>
        <w:tc>
          <w:tcPr>
            <w:tcW w:w="3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product sales: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EXPAREL</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139,902 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132,004 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419,348 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401,286 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ZILRETTA</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83,654 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84,966 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iovera°</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Bupivacaine liposome injectable suspension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net product sales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178,040 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167,722 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525,981 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509,933 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NOTE 5—INVENTORIES</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components of inventories, net are as follows (in thousands):</w:t>
      </w:r>
    </w:p>
    <w:tbl>
      <w:tblPr>
        <w:tblW w:w="4174" w:type="dxa"/>
        <w:jc w:val="left"/>
        <w:tblInd w:w="0" w:type="dxa"/>
        <w:tblLayout w:type="fixed"/>
        <w:tblCellMar>
          <w:top w:w="28" w:type="dxa"/>
          <w:left w:w="28" w:type="dxa"/>
          <w:bottom w:w="28" w:type="dxa"/>
          <w:right w:w="28" w:type="dxa"/>
        </w:tblCellMar>
      </w:tblPr>
      <w:tblGrid>
        <w:gridCol w:w="527"/>
        <w:gridCol w:w="462"/>
        <w:gridCol w:w="467"/>
        <w:gridCol w:w="221"/>
        <w:gridCol w:w="865"/>
        <w:gridCol w:w="114"/>
        <w:gridCol w:w="109"/>
        <w:gridCol w:w="109"/>
        <w:gridCol w:w="109"/>
        <w:gridCol w:w="211"/>
        <w:gridCol w:w="826"/>
        <w:gridCol w:w="154"/>
      </w:tblGrid>
      <w:tr>
        <w:trPr/>
        <w:tc>
          <w:tcPr>
            <w:tcW w:w="527"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r>
          </w:p>
        </w:tc>
      </w:tr>
      <w:tr>
        <w:trPr/>
        <w:tc>
          <w:tcPr>
            <w:tcW w:w="1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Raw materials</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46,428 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Work-in-process</w:t>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18,840 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goods</w:t>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92,412 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w:t>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157,680 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125,282 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In July 2025, the Company announced it decommissioned its 45-liter EXPAREL batch manufacturing suite located at its Science Center Campus in San Diego, California, and reduced its workforce accordingly. As a result, the Company reserved $1.0 million of raw materials related to that equipment during the nine months ended September 30,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NOTE 6—FIXED ASSETS</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Fixed assets, net, summarized by major category, consist of the following (in thousands):</w:t>
      </w:r>
    </w:p>
    <w:tbl>
      <w:tblPr>
        <w:tblW w:w="5628" w:type="dxa"/>
        <w:jc w:val="left"/>
        <w:tblInd w:w="0" w:type="dxa"/>
        <w:tblLayout w:type="fixed"/>
        <w:tblCellMar>
          <w:top w:w="28" w:type="dxa"/>
          <w:left w:w="28" w:type="dxa"/>
          <w:bottom w:w="28" w:type="dxa"/>
          <w:right w:w="28" w:type="dxa"/>
        </w:tblCellMar>
      </w:tblPr>
      <w:tblGrid>
        <w:gridCol w:w="1053"/>
        <w:gridCol w:w="925"/>
        <w:gridCol w:w="932"/>
        <w:gridCol w:w="221"/>
        <w:gridCol w:w="865"/>
        <w:gridCol w:w="114"/>
        <w:gridCol w:w="109"/>
        <w:gridCol w:w="109"/>
        <w:gridCol w:w="109"/>
        <w:gridCol w:w="211"/>
        <w:gridCol w:w="826"/>
        <w:gridCol w:w="154"/>
      </w:tblGrid>
      <w:tr>
        <w:trPr/>
        <w:tc>
          <w:tcPr>
            <w:tcW w:w="1053"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Machinery and equipment</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163,980 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160,643 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76,343 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86,034 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Computer equipment and software</w:t>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25,814 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Office furniture and equipment</w:t>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in progress</w:t>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11,785 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w:t>
            </w:r>
          </w:p>
        </w:tc>
        <w:tc>
          <w:tcPr>
            <w:tcW w:w="10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280,053 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300,098 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w:t>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(132,665)</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(132,929)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Fixed assets, net</w:t>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147,388 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167,169 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For the three months ended September 30, 2025 and 2024, depreciation expense was $6.9 million and $6.0 million, respectively. For the three months ended September 30, 2025 and 2024, there was none and $0.5 million of capitalized interest on the construction of manufacturing sites, respectively.</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For the nine months ended September 30, 2025 and 2024, depreciation expense was $26.7 million and $14.6 million, respectively. For the nine months ended September 30, 2025 and 2024, there was $0.1 million and $1.9 million of capitalized interest on the construction of manufacturing sites, respectively. </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In July 2025, the Company announced it decommissioned its 45-liter EXPAREL batch manufacturing suite located at its Science Center Campus in San Diego, California, and reduced its workforce accordingly. As a result, the Company recognized $5.5 million of accelerated depreciation expense and disposed of $27.3 million of fully-depreciated leasehold improvements, machinery and equipment and, to a lesser extent, computer equipment and software associated with its 45-liter EXPAREL batch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5260"/>
                <wp:effectExtent l="0" t="0" r="0" b="0"/>
                <wp:wrapNone/>
                <wp:docPr id="16" name="Frame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Q3 </w:t>
                            </w:r>
                            <w:r>
                              <w:rPr>
                                <w:rFonts w:ascii="Times New Roman;serif" w:hAnsi="Times New Roman;serif"/>
                                <w:b w:val="false"/>
                                <w:color w:val="000000"/>
                                <w:sz w:val="20"/>
                              </w:rPr>
                              <w:t>2025</w:t>
                            </w:r>
                            <w:r>
                              <w:rPr>
                                <w:color w:val="000000"/>
                              </w:rPr>
                              <w:t xml:space="preserve"> </w:t>
                            </w:r>
                            <w:r>
                              <w:rPr>
                                <w:rFonts w:ascii="Times New Roman;serif" w:hAnsi="Times New Roman;serif"/>
                                <w:b w:val="false"/>
                                <w:color w:val="000000"/>
                                <w:sz w:val="19"/>
                              </w:rPr>
                              <w:t>Form 10-Q | 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Q3 </w:t>
                      </w:r>
                      <w:r>
                        <w:rPr>
                          <w:rFonts w:ascii="Times New Roman;serif" w:hAnsi="Times New Roman;serif"/>
                          <w:b w:val="false"/>
                          <w:color w:val="000000"/>
                          <w:sz w:val="20"/>
                        </w:rPr>
                        <w:t>2025</w:t>
                      </w:r>
                      <w:r>
                        <w:rPr>
                          <w:color w:val="000000"/>
                        </w:rPr>
                        <w:t xml:space="preserve"> </w:t>
                      </w:r>
                      <w:r>
                        <w:rPr>
                          <w:rFonts w:ascii="Times New Roman;serif" w:hAnsi="Times New Roman;serif"/>
                          <w:b w:val="false"/>
                          <w:color w:val="000000"/>
                          <w:sz w:val="19"/>
                        </w:rPr>
                        <w:t>Form 10-Q | 14</w:t>
                      </w:r>
                    </w:p>
                  </w:txbxContent>
                </v:textbox>
                <w10:wrap type="none"/>
              </v:rect>
            </w:pict>
          </mc:Fallback>
        </mc:AlternateContent>
      </w:r>
    </w:p>
    <w:p>
      <w:pPr>
        <w:pStyle w:val="TextBody"/>
        <w:bidi w:val="0"/>
        <w:spacing w:lineRule="auto" w:line="288" w:before="0" w:after="0"/>
        <w:jc w:val="left"/>
        <w:rPr/>
      </w:pPr>
      <w:hyperlink w:anchor="i004be9cfd92c48c78448e0b03d16957e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manufacturing suite during the nine months ended September 30, 2025. The Company continues to operate its 200-liter EXPAREL batch manufacturing suite at the same facility.</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As of September 30, 2025 and December 31, 2024, total fixed assets, net, includes manufacturing process equipment and leasehold improvements located outside of the U.S. in the amount of $43.8 million and $51.1 million, respectively. </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As of September 30, 2025 and December 31, 2024, the Company had asset retirement obligations of $3.8 million and $4.2 million, respectively, included in accrued expenses and other liabilities on its condensed consolidated balance sheets, for costs associated with returning leased spaces to their original condition upon the termination of certain of its lease agreements.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NOTE 7—LEASES</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leases all of its facilities, including its EXPAREL and iovera° handpiece manufacturing facility at its Science Center Campus in San Diego, California. In April 2025, the Company moved its principal executive offices to Brisbane, California. The Company also has two embedded leases with Thermo Fisher Scientific Pharma Services in Swindon, U.K. for the production of EXPAREL and ZILRETTA. A portion of the associated monthly base fees have been allocated to the lease components based on a relative fair value basis. As part of the GQ Bio Acquisition in February 2025, the Company’s European offices were assumed and include a research and development lab and offices in Luckenwalde, Germany and administrative offices in Hamburg, Germany and each of Eupen and Liège, Belgium. </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 had been recognizing sublease income for laboratory space leased in Woburn, Massachusetts from leases that were assumed as part of the Flexion Acquisition. In February 2024, the lease and sublease term concluded for the laboratory space in Woburn and in April 2025, a lease and sublease term concluded for office space in Burlington, Massachusetts.</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operating lease costs for the facilities include lease and non-lease components, such as common area maintenance and other common operating expenses, along with executory costs such as insurance and real estate taxes. Total operating lease expense, net is as follows (in thousands):</w:t>
      </w:r>
    </w:p>
    <w:tbl>
      <w:tblPr>
        <w:tblW w:w="7017" w:type="dxa"/>
        <w:jc w:val="left"/>
        <w:tblInd w:w="0" w:type="dxa"/>
        <w:tblLayout w:type="fixed"/>
        <w:tblCellMar>
          <w:top w:w="28" w:type="dxa"/>
          <w:left w:w="28" w:type="dxa"/>
          <w:bottom w:w="28" w:type="dxa"/>
          <w:right w:w="28" w:type="dxa"/>
        </w:tblCellMar>
      </w:tblPr>
      <w:tblGrid>
        <w:gridCol w:w="619"/>
        <w:gridCol w:w="543"/>
        <w:gridCol w:w="548"/>
        <w:gridCol w:w="109"/>
        <w:gridCol w:w="109"/>
        <w:gridCol w:w="109"/>
        <w:gridCol w:w="211"/>
        <w:gridCol w:w="616"/>
        <w:gridCol w:w="109"/>
        <w:gridCol w:w="109"/>
        <w:gridCol w:w="109"/>
        <w:gridCol w:w="109"/>
        <w:gridCol w:w="211"/>
        <w:gridCol w:w="616"/>
        <w:gridCol w:w="109"/>
        <w:gridCol w:w="109"/>
        <w:gridCol w:w="109"/>
        <w:gridCol w:w="109"/>
        <w:gridCol w:w="211"/>
        <w:gridCol w:w="721"/>
        <w:gridCol w:w="109"/>
        <w:gridCol w:w="109"/>
        <w:gridCol w:w="109"/>
        <w:gridCol w:w="109"/>
        <w:gridCol w:w="211"/>
        <w:gridCol w:w="721"/>
        <w:gridCol w:w="154"/>
      </w:tblGrid>
      <w:tr>
        <w:trPr/>
        <w:tc>
          <w:tcPr>
            <w:tcW w:w="619"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w:t>
            </w:r>
          </w:p>
        </w:tc>
      </w:tr>
      <w:tr>
        <w:trPr/>
        <w:tc>
          <w:tcPr>
            <w:tcW w:w="1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w:t>
            </w:r>
          </w:p>
        </w:tc>
      </w:tr>
      <w:tr>
        <w:trPr/>
        <w:tc>
          <w:tcPr>
            <w:tcW w:w="1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1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lease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10,416 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Variable lease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Sublease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11,354 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11,513 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Supplemental cash flow information related to operating leases is as follows (in thousands):</w:t>
      </w:r>
    </w:p>
    <w:tbl>
      <w:tblPr>
        <w:tblW w:w="7760" w:type="dxa"/>
        <w:jc w:val="left"/>
        <w:tblInd w:w="0" w:type="dxa"/>
        <w:tblLayout w:type="fixed"/>
        <w:tblCellMar>
          <w:top w:w="28" w:type="dxa"/>
          <w:left w:w="28" w:type="dxa"/>
          <w:bottom w:w="28" w:type="dxa"/>
          <w:right w:w="28" w:type="dxa"/>
        </w:tblCellMar>
      </w:tblPr>
      <w:tblGrid>
        <w:gridCol w:w="1879"/>
        <w:gridCol w:w="1652"/>
        <w:gridCol w:w="1658"/>
        <w:gridCol w:w="109"/>
        <w:gridCol w:w="109"/>
        <w:gridCol w:w="109"/>
        <w:gridCol w:w="211"/>
        <w:gridCol w:w="616"/>
        <w:gridCol w:w="109"/>
        <w:gridCol w:w="109"/>
        <w:gridCol w:w="109"/>
        <w:gridCol w:w="109"/>
        <w:gridCol w:w="211"/>
        <w:gridCol w:w="616"/>
        <w:gridCol w:w="154"/>
      </w:tblGrid>
      <w:tr>
        <w:trPr/>
        <w:tc>
          <w:tcPr>
            <w:tcW w:w="1879" w:type="dxa"/>
            <w:tcBorders/>
            <w:vAlign w:val="center"/>
          </w:tcPr>
          <w:p>
            <w:pPr>
              <w:pStyle w:val="TableContents"/>
              <w:bidi w:val="0"/>
              <w:spacing w:before="0" w:after="283"/>
              <w:jc w:val="left"/>
              <w:rPr>
                <w:sz w:val="4"/>
                <w:szCs w:val="4"/>
              </w:rPr>
            </w:pPr>
            <w:r>
              <w:rPr>
                <w:sz w:val="4"/>
                <w:szCs w:val="4"/>
              </w:rPr>
            </w:r>
          </w:p>
        </w:tc>
        <w:tc>
          <w:tcPr>
            <w:tcW w:w="1652" w:type="dxa"/>
            <w:tcBorders/>
            <w:vAlign w:val="center"/>
          </w:tcPr>
          <w:p>
            <w:pPr>
              <w:pStyle w:val="TableContents"/>
              <w:bidi w:val="0"/>
              <w:spacing w:before="0" w:after="283"/>
              <w:jc w:val="left"/>
              <w:rPr>
                <w:sz w:val="4"/>
                <w:szCs w:val="4"/>
              </w:rPr>
            </w:pPr>
            <w:r>
              <w:rPr>
                <w:sz w:val="4"/>
                <w:szCs w:val="4"/>
              </w:rPr>
            </w:r>
          </w:p>
        </w:tc>
        <w:tc>
          <w:tcPr>
            <w:tcW w:w="16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w:t>
            </w:r>
          </w:p>
        </w:tc>
      </w:tr>
      <w:tr>
        <w:trPr/>
        <w:tc>
          <w:tcPr>
            <w:tcW w:w="5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w:t>
            </w:r>
          </w:p>
        </w:tc>
      </w:tr>
      <w:tr>
        <w:trPr/>
        <w:tc>
          <w:tcPr>
            <w:tcW w:w="5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5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operating lease liabilities, net of lease incentives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9,686 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 recorded in exchange for lease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 has elected to net the amortization of the right-of-use asset and the reduction of the lease liability principal in other liabilities in the condensed consolidated statements of cash flows.</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 has measured its operating lease liabilities at an estimated discount rate at which it could borrow on a collateralized basis over the remaining term for each operating lease. The weighted average remaining lease terms and the weighted average discount rates are summarized as follows:</w:t>
      </w:r>
    </w:p>
    <w:tbl>
      <w:tblPr>
        <w:tblW w:w="6086" w:type="dxa"/>
        <w:jc w:val="left"/>
        <w:tblInd w:w="0" w:type="dxa"/>
        <w:tblLayout w:type="fixed"/>
        <w:tblCellMar>
          <w:top w:w="28" w:type="dxa"/>
          <w:left w:w="28" w:type="dxa"/>
          <w:bottom w:w="28" w:type="dxa"/>
          <w:right w:w="28" w:type="dxa"/>
        </w:tblCellMar>
      </w:tblPr>
      <w:tblGrid>
        <w:gridCol w:w="1198"/>
        <w:gridCol w:w="1055"/>
        <w:gridCol w:w="1062"/>
        <w:gridCol w:w="109"/>
        <w:gridCol w:w="109"/>
        <w:gridCol w:w="109"/>
        <w:gridCol w:w="255"/>
        <w:gridCol w:w="256"/>
        <w:gridCol w:w="516"/>
        <w:gridCol w:w="109"/>
        <w:gridCol w:w="109"/>
        <w:gridCol w:w="109"/>
        <w:gridCol w:w="255"/>
        <w:gridCol w:w="256"/>
        <w:gridCol w:w="579"/>
      </w:tblGrid>
      <w:tr>
        <w:trPr/>
        <w:tc>
          <w:tcPr>
            <w:tcW w:w="1198"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w:t>
            </w:r>
          </w:p>
        </w:tc>
      </w:tr>
      <w:tr>
        <w:trPr/>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remaining lease term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 years</w:t>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discount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6.91 </w:t>
            </w:r>
          </w:p>
        </w:tc>
        <w:tc>
          <w:tcPr>
            <w:tcW w:w="5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6.99 </w:t>
            </w:r>
          </w:p>
        </w:tc>
        <w:tc>
          <w:tcPr>
            <w:tcW w:w="5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75260"/>
                <wp:effectExtent l="0" t="0" r="0" b="0"/>
                <wp:wrapNone/>
                <wp:docPr id="17" name="Frame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Q3 </w:t>
                            </w:r>
                            <w:r>
                              <w:rPr>
                                <w:rFonts w:ascii="Times New Roman;serif" w:hAnsi="Times New Roman;serif"/>
                                <w:b w:val="false"/>
                                <w:color w:val="000000"/>
                                <w:sz w:val="20"/>
                              </w:rPr>
                              <w:t>2025</w:t>
                            </w:r>
                            <w:r>
                              <w:rPr>
                                <w:color w:val="000000"/>
                              </w:rPr>
                              <w:t xml:space="preserve"> </w:t>
                            </w:r>
                            <w:r>
                              <w:rPr>
                                <w:rFonts w:ascii="Times New Roman;serif" w:hAnsi="Times New Roman;serif"/>
                                <w:b w:val="false"/>
                                <w:color w:val="000000"/>
                                <w:sz w:val="19"/>
                              </w:rPr>
                              <w:t>Form 10-Q | 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Q3 </w:t>
                      </w:r>
                      <w:r>
                        <w:rPr>
                          <w:rFonts w:ascii="Times New Roman;serif" w:hAnsi="Times New Roman;serif"/>
                          <w:b w:val="false"/>
                          <w:color w:val="000000"/>
                          <w:sz w:val="20"/>
                        </w:rPr>
                        <w:t>2025</w:t>
                      </w:r>
                      <w:r>
                        <w:rPr>
                          <w:color w:val="000000"/>
                        </w:rPr>
                        <w:t xml:space="preserve"> </w:t>
                      </w:r>
                      <w:r>
                        <w:rPr>
                          <w:rFonts w:ascii="Times New Roman;serif" w:hAnsi="Times New Roman;serif"/>
                          <w:b w:val="false"/>
                          <w:color w:val="000000"/>
                          <w:sz w:val="19"/>
                        </w:rPr>
                        <w:t>Form 10-Q | 15</w:t>
                      </w:r>
                    </w:p>
                  </w:txbxContent>
                </v:textbox>
                <w10:wrap type="none"/>
              </v:rect>
            </w:pict>
          </mc:Fallback>
        </mc:AlternateContent>
      </w:r>
    </w:p>
    <w:p>
      <w:pPr>
        <w:pStyle w:val="TextBody"/>
        <w:bidi w:val="0"/>
        <w:spacing w:lineRule="auto" w:line="288" w:before="0" w:after="0"/>
        <w:jc w:val="left"/>
        <w:rPr/>
      </w:pPr>
      <w:hyperlink w:anchor="i004be9cfd92c48c78448e0b03d16957e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Maturities of the Company’s operating lease liabilities are as follows (in thousands):</w:t>
      </w:r>
    </w:p>
    <w:tbl>
      <w:tblPr>
        <w:tblW w:w="4901" w:type="dxa"/>
        <w:jc w:val="left"/>
        <w:tblInd w:w="0" w:type="dxa"/>
        <w:tblLayout w:type="fixed"/>
        <w:tblCellMar>
          <w:top w:w="28" w:type="dxa"/>
          <w:left w:w="28" w:type="dxa"/>
          <w:bottom w:w="28" w:type="dxa"/>
          <w:right w:w="28" w:type="dxa"/>
        </w:tblCellMar>
      </w:tblPr>
      <w:tblGrid>
        <w:gridCol w:w="1023"/>
        <w:gridCol w:w="902"/>
        <w:gridCol w:w="910"/>
        <w:gridCol w:w="109"/>
        <w:gridCol w:w="109"/>
        <w:gridCol w:w="109"/>
        <w:gridCol w:w="338"/>
        <w:gridCol w:w="1155"/>
        <w:gridCol w:w="246"/>
      </w:tblGrid>
      <w:tr>
        <w:trPr/>
        <w:tc>
          <w:tcPr>
            <w:tcW w:w="1023"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r>
      <w:tr>
        <w:trPr/>
        <w:tc>
          <w:tcPr>
            <w:tcW w:w="28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Aggregate Minimum</w:t>
              <w:br/>
              <w:t>Payments Due</w:t>
            </w:r>
          </w:p>
        </w:tc>
      </w:tr>
      <w:tr>
        <w:trPr/>
        <w:tc>
          <w:tcPr>
            <w:tcW w:w="28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2025 (remaining three months)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3,198 </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12,789 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12,336 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11,188 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11,076 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6,384 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future lease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56,971 </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Less: imputed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(8,384)</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48,587 </w:t>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NOTE 8—GOODWILL AND INTANGIBLE ASSETS</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Goodwill</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Company’s goodwill arose from the GQ Bio Acquisition in February 2025. As discussed below, the Company previously had goodwill resulting from the acquisition of Pacira Pharmaceuticals, Inc. (the Company’s California operating subsidiary) from SkyePharma Holding, Inc. (now a subsidiary of Vectura Group plc, a subsidiary of Molex Asia Holdings Ltd.) in 2007, the MyoScience Acquisition in 2019 and the Flexion Acquisition in 2021. The change in the carrying value of the Company’s goodwill is summarized as follows (in thousands):</w:t>
      </w:r>
    </w:p>
    <w:tbl>
      <w:tblPr>
        <w:tblW w:w="5546" w:type="dxa"/>
        <w:jc w:val="left"/>
        <w:tblInd w:w="0" w:type="dxa"/>
        <w:tblLayout w:type="fixed"/>
        <w:tblCellMar>
          <w:top w:w="28" w:type="dxa"/>
          <w:left w:w="28" w:type="dxa"/>
          <w:bottom w:w="28" w:type="dxa"/>
          <w:right w:w="28" w:type="dxa"/>
        </w:tblCellMar>
      </w:tblPr>
      <w:tblGrid>
        <w:gridCol w:w="1401"/>
        <w:gridCol w:w="1231"/>
        <w:gridCol w:w="1238"/>
        <w:gridCol w:w="109"/>
        <w:gridCol w:w="109"/>
        <w:gridCol w:w="109"/>
        <w:gridCol w:w="239"/>
        <w:gridCol w:w="936"/>
        <w:gridCol w:w="174"/>
      </w:tblGrid>
      <w:tr>
        <w:trPr/>
        <w:tc>
          <w:tcPr>
            <w:tcW w:w="1401"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Carrying Value</w:t>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163,243 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impairment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(163,243)</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arising from the GQ Bio Acquisition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18,099 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2,218 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September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20,317 </w:t>
            </w:r>
          </w:p>
        </w:tc>
        <w:tc>
          <w:tcPr>
            <w:tcW w:w="1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Goodwill represents the excess of the purchase price over the estimated fair value of the net assets acquired in a business combination and is subject to impairment testing at least annually or upon the occurrence of a triggering event that could indicate a potential impairment. During the three months ended September 30, 2024, the U.S. Food and Drug Administration, or FDA, approved a generic competitor to EXPAREL and a U.S. District Court ruled that one of the Company’s patents was not valid. The Company determined that these events, combined with a subsequent decrease in the Company’s common stock price, indicated that it was more likely than not that the fair value of goodwill may be less than its carrying value, which required the Company to perform a quantitative impairment test. This was performed by comparing the fair value of the Company to its carrying value. If the estimated fair value of the reporting unit is less than the carrying amount of the reporting unit, impairment is indicated, requiring recognition of a goodwill impairment charge up to the carrying value of goodwill. The fair value of the Company was calculated through an income approach, in which the Company calculated the fair value based on the present value of estimated future cash flows. Considerable management judgment is necessary to evaluate the impact of operating and macroeconomic changes and to estimate the future cash flows used to assume fair value. The Company’s estimates of future cash flows consider past performance, current and anticipated market conditions, internal projections and operating plans which incorporate estimates for sales growth and future margins. Additional assumptions include forecasted growth rates, estimated discount rates and the probability of success for the Company’s product pipeline candidate products. The assumptions also reflect current and anticipated market conditions and are consistent with those that would be used by other marketplace participants for similar valuation purposes. Such assumptions are subject to change due to changing economic and competitive conditions. The conclusion of the income approach as of September, 30, 2024 resulted in the carrying value of the Company exceeding its fair value by more than the goodwill balance. As a result, the then-goodwill balance of $163.2 million was fully impaired during the three months ended September 30, 2024.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75260"/>
                <wp:effectExtent l="0" t="0" r="0" b="0"/>
                <wp:wrapNone/>
                <wp:docPr id="18" name="Frame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Q3 </w:t>
                            </w:r>
                            <w:r>
                              <w:rPr>
                                <w:rFonts w:ascii="Times New Roman;serif" w:hAnsi="Times New Roman;serif"/>
                                <w:b w:val="false"/>
                                <w:color w:val="000000"/>
                                <w:sz w:val="20"/>
                              </w:rPr>
                              <w:t>2025</w:t>
                            </w:r>
                            <w:r>
                              <w:rPr>
                                <w:color w:val="000000"/>
                              </w:rPr>
                              <w:t xml:space="preserve"> </w:t>
                            </w:r>
                            <w:r>
                              <w:rPr>
                                <w:rFonts w:ascii="Times New Roman;serif" w:hAnsi="Times New Roman;serif"/>
                                <w:b w:val="false"/>
                                <w:color w:val="000000"/>
                                <w:sz w:val="19"/>
                              </w:rPr>
                              <w:t>Form 10-Q | 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Q3 </w:t>
                      </w:r>
                      <w:r>
                        <w:rPr>
                          <w:rFonts w:ascii="Times New Roman;serif" w:hAnsi="Times New Roman;serif"/>
                          <w:b w:val="false"/>
                          <w:color w:val="000000"/>
                          <w:sz w:val="20"/>
                        </w:rPr>
                        <w:t>2025</w:t>
                      </w:r>
                      <w:r>
                        <w:rPr>
                          <w:color w:val="000000"/>
                        </w:rPr>
                        <w:t xml:space="preserve"> </w:t>
                      </w:r>
                      <w:r>
                        <w:rPr>
                          <w:rFonts w:ascii="Times New Roman;serif" w:hAnsi="Times New Roman;serif"/>
                          <w:b w:val="false"/>
                          <w:color w:val="000000"/>
                          <w:sz w:val="19"/>
                        </w:rPr>
                        <w:t>Form 10-Q | 16</w:t>
                      </w:r>
                    </w:p>
                  </w:txbxContent>
                </v:textbox>
                <w10:wrap type="none"/>
              </v:rect>
            </w:pict>
          </mc:Fallback>
        </mc:AlternateContent>
      </w:r>
    </w:p>
    <w:p>
      <w:pPr>
        <w:pStyle w:val="TextBody"/>
        <w:bidi w:val="0"/>
        <w:spacing w:lineRule="auto" w:line="288" w:before="0" w:after="0"/>
        <w:jc w:val="left"/>
        <w:rPr/>
      </w:pPr>
      <w:hyperlink w:anchor="i004be9cfd92c48c78448e0b03d16957e_7">
        <w:r>
          <w:rPr>
            <w:rStyle w:val="InternetLink"/>
            <w:rFonts w:ascii="Times New Roman;serif" w:hAnsi="Times New Roman;serif"/>
            <w:b w:val="false"/>
            <w:color w:val="0000FF"/>
            <w:sz w:val="20"/>
            <w:u w:val="single"/>
          </w:rPr>
          <w:t>Table of Contents</w:t>
        </w:r>
      </w:hyperlink>
    </w:p>
    <w:p>
      <w:pPr>
        <w:pStyle w:val="TextBody"/>
        <w:bidi w:val="0"/>
        <w:spacing w:lineRule="auto" w:line="276" w:before="180" w:after="283"/>
        <w:jc w:val="left"/>
        <w:rPr>
          <w:rFonts w:ascii="Times New Roman;serif" w:hAnsi="Times New Roman;serif"/>
          <w:b/>
          <w:i/>
          <w:color w:val="000000"/>
          <w:sz w:val="20"/>
        </w:rPr>
      </w:pPr>
      <w:r>
        <w:rPr>
          <w:rFonts w:ascii="Times New Roman;serif" w:hAnsi="Times New Roman;serif"/>
          <w:b/>
          <w:i/>
          <w:color w:val="000000"/>
          <w:sz w:val="20"/>
        </w:rPr>
        <w:t>Intangible Assets</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Intangible assets, net, consists of the IPR&amp;D from the GQ Bio Acquisition and Flexion Acquisition, developed technology from the Flexion Acquisition and MyoScience Acquisition and customer relationships from the MyoScience Acquisition are summarized as follows (dollar amounts in thousands):</w:t>
      </w:r>
    </w:p>
    <w:tbl>
      <w:tblPr>
        <w:tblW w:w="10205" w:type="dxa"/>
        <w:jc w:val="left"/>
        <w:tblInd w:w="0" w:type="dxa"/>
        <w:tblLayout w:type="fixed"/>
        <w:tblCellMar>
          <w:top w:w="28" w:type="dxa"/>
          <w:left w:w="28" w:type="dxa"/>
          <w:bottom w:w="28" w:type="dxa"/>
          <w:right w:w="28" w:type="dxa"/>
        </w:tblCellMar>
      </w:tblPr>
      <w:tblGrid>
        <w:gridCol w:w="679"/>
        <w:gridCol w:w="436"/>
        <w:gridCol w:w="439"/>
        <w:gridCol w:w="109"/>
        <w:gridCol w:w="109"/>
        <w:gridCol w:w="109"/>
        <w:gridCol w:w="233"/>
        <w:gridCol w:w="913"/>
        <w:gridCol w:w="120"/>
        <w:gridCol w:w="109"/>
        <w:gridCol w:w="109"/>
        <w:gridCol w:w="109"/>
        <w:gridCol w:w="308"/>
        <w:gridCol w:w="902"/>
        <w:gridCol w:w="160"/>
        <w:gridCol w:w="109"/>
        <w:gridCol w:w="109"/>
        <w:gridCol w:w="109"/>
        <w:gridCol w:w="241"/>
        <w:gridCol w:w="984"/>
        <w:gridCol w:w="124"/>
        <w:gridCol w:w="109"/>
        <w:gridCol w:w="109"/>
        <w:gridCol w:w="109"/>
        <w:gridCol w:w="233"/>
        <w:gridCol w:w="913"/>
        <w:gridCol w:w="120"/>
        <w:gridCol w:w="109"/>
        <w:gridCol w:w="109"/>
        <w:gridCol w:w="109"/>
        <w:gridCol w:w="514"/>
        <w:gridCol w:w="514"/>
        <w:gridCol w:w="737"/>
      </w:tblGrid>
      <w:tr>
        <w:trPr/>
        <w:tc>
          <w:tcPr>
            <w:tcW w:w="679"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r>
      <w:tr>
        <w:trPr/>
        <w:tc>
          <w:tcPr>
            <w:tcW w:w="1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Gross Carrying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Foreign Currency 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Intangible Assets,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Weighted-Average Useful Lives</w:t>
            </w:r>
          </w:p>
        </w:tc>
      </w:tr>
      <w:tr>
        <w:trPr/>
        <w:tc>
          <w:tcPr>
            <w:tcW w:w="15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Developed technologies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590,000 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(241,893)</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348,107 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 years, 5 months</w:t>
            </w:r>
          </w:p>
        </w:tc>
      </w:tr>
      <w:tr>
        <w:trPr/>
        <w:tc>
          <w:tcPr>
            <w:tcW w:w="1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 years</w:t>
            </w:r>
          </w:p>
        </w:tc>
      </w:tr>
      <w:tr>
        <w:trPr/>
        <w:tc>
          <w:tcPr>
            <w:tcW w:w="1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finite-lived intangible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590,090 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(241,951)</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348,139 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Acquired IPR&amp;D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31,500 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34,257 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intangible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621,590 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2,757 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(241,951)</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382,396 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879"/>
        <w:gridCol w:w="673"/>
        <w:gridCol w:w="653"/>
        <w:gridCol w:w="109"/>
        <w:gridCol w:w="109"/>
        <w:gridCol w:w="109"/>
        <w:gridCol w:w="263"/>
        <w:gridCol w:w="1030"/>
        <w:gridCol w:w="135"/>
        <w:gridCol w:w="109"/>
        <w:gridCol w:w="109"/>
        <w:gridCol w:w="109"/>
        <w:gridCol w:w="109"/>
        <w:gridCol w:w="109"/>
        <w:gridCol w:w="283"/>
        <w:gridCol w:w="1177"/>
        <w:gridCol w:w="146"/>
        <w:gridCol w:w="109"/>
        <w:gridCol w:w="109"/>
        <w:gridCol w:w="109"/>
        <w:gridCol w:w="263"/>
        <w:gridCol w:w="1030"/>
        <w:gridCol w:w="135"/>
        <w:gridCol w:w="109"/>
        <w:gridCol w:w="109"/>
        <w:gridCol w:w="109"/>
        <w:gridCol w:w="586"/>
        <w:gridCol w:w="586"/>
        <w:gridCol w:w="840"/>
      </w:tblGrid>
      <w:tr>
        <w:trPr/>
        <w:tc>
          <w:tcPr>
            <w:tcW w:w="879"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Gross Carrying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Intangible Assets,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Weighted-Average Useful Lives</w:t>
            </w:r>
          </w:p>
        </w:tc>
      </w:tr>
      <w:tr>
        <w:trPr/>
        <w:tc>
          <w:tcPr>
            <w:tcW w:w="22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Developed technologies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590,000 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(198,934)</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391,066 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 years, 5 months</w:t>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 years</w:t>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finite-lived intangible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590,090 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(198,986)</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391,104 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Acquired IPR&amp;D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34,866 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34,866 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intangible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624,956 </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(198,986)</w:t>
            </w:r>
          </w:p>
        </w:tc>
        <w:tc>
          <w:tcPr>
            <w:tcW w:w="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425,970 </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Amortization expense on intangible assets was $14.3 million for both the three months ended September 30, 2025 and 2024. Amortization expense on intangible assets was $43.0 million for both the nine months ended September 30, 2025 and 2024.</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Assuming no changes in the gross carrying amount of these intangible assets, the future estimated amortization expense on the finite-lived intangible assets will be $14.3 million for the remaining three months of 2025, $57.3 million each year from 2026 to 2030, $37.4 million in 2031, $7.9 million in 2032 and $2.2 million in 2033.</w:t>
      </w:r>
    </w:p>
    <w:p>
      <w:pPr>
        <w:pStyle w:val="TextBody"/>
        <w:bidi w:val="0"/>
        <w:spacing w:lineRule="auto" w:line="288" w:before="180" w:after="283"/>
        <w:ind w:left="0" w:right="0" w:firstLine="450"/>
        <w:jc w:val="left"/>
        <w:rPr/>
      </w:pPr>
      <w:r>
        <w:rPr>
          <w:rFonts w:ascii="Times New Roman;serif" w:hAnsi="Times New Roman;serif"/>
          <w:b w:val="false"/>
          <w:color w:val="000000"/>
          <w:sz w:val="20"/>
        </w:rPr>
        <w:t xml:space="preserve">As part of the GQ Bio Acquisition, the Company recognized $22.5 million of acquired IPR&amp;D in February 2025. See Note 3, </w:t>
      </w:r>
      <w:r>
        <w:rPr>
          <w:rFonts w:ascii="Times New Roman;serif" w:hAnsi="Times New Roman;serif"/>
          <w:b w:val="false"/>
          <w:i/>
          <w:color w:val="000000"/>
          <w:sz w:val="20"/>
        </w:rPr>
        <w:t>GQ Bio Therapeutics Acquisition</w:t>
      </w:r>
      <w:r>
        <w:rPr>
          <w:rFonts w:ascii="Times New Roman;serif" w:hAnsi="Times New Roman;serif"/>
          <w:b w:val="false"/>
          <w:color w:val="000000"/>
          <w:sz w:val="20"/>
        </w:rPr>
        <w:t>, for information on the GQ Bio Acquisition.</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 reviews its indefinite-lived intangible assets for impairment annually and whenever an event or change in circumstances arises that indicates the carrying amount of an indefinite-lived intangible asset is at risk of not being recoverable. During the three months ended September 30, 2025, the Company determined the fair value of the ZILRETTA acquired IPR&amp;D for the treatment of shoulder OA pain may be at risk of impairment due to revised completion timelines for clinical trials and commercial availability which directly impacted revenue forecasts, among other factors. The Company determined that these events indicated that it was more likely than not that the fair value of the acquired IPR&amp;D may be less than its fair value. The impairment assessment was conducted through a recoverability test by comparing the $33.9 million carrying value of the asset against the fair value through a discounted cash flow model based on new facts and circumstances. The assessment resulted in a fair value of $8.0 million. An impairment of $25.9 million was recognized within contingent consideration charges (gains), acquisition-related expenses, restructuring and other in the consolidated statements of operations for the three and nine months ended September 30, 2025 based on the amount its previous carrying value exceeded its updated fair value.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75260"/>
                <wp:effectExtent l="0" t="0" r="0" b="0"/>
                <wp:wrapNone/>
                <wp:docPr id="19" name="Frame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Q3 </w:t>
                            </w:r>
                            <w:r>
                              <w:rPr>
                                <w:rFonts w:ascii="Times New Roman;serif" w:hAnsi="Times New Roman;serif"/>
                                <w:b w:val="false"/>
                                <w:color w:val="000000"/>
                                <w:sz w:val="20"/>
                              </w:rPr>
                              <w:t>2025</w:t>
                            </w:r>
                            <w:r>
                              <w:rPr>
                                <w:color w:val="000000"/>
                              </w:rPr>
                              <w:t xml:space="preserve"> </w:t>
                            </w:r>
                            <w:r>
                              <w:rPr>
                                <w:rFonts w:ascii="Times New Roman;serif" w:hAnsi="Times New Roman;serif"/>
                                <w:b w:val="false"/>
                                <w:color w:val="000000"/>
                                <w:sz w:val="19"/>
                              </w:rPr>
                              <w:t>Form 10-Q | 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Q3 </w:t>
                      </w:r>
                      <w:r>
                        <w:rPr>
                          <w:rFonts w:ascii="Times New Roman;serif" w:hAnsi="Times New Roman;serif"/>
                          <w:b w:val="false"/>
                          <w:color w:val="000000"/>
                          <w:sz w:val="20"/>
                        </w:rPr>
                        <w:t>2025</w:t>
                      </w:r>
                      <w:r>
                        <w:rPr>
                          <w:color w:val="000000"/>
                        </w:rPr>
                        <w:t xml:space="preserve"> </w:t>
                      </w:r>
                      <w:r>
                        <w:rPr>
                          <w:rFonts w:ascii="Times New Roman;serif" w:hAnsi="Times New Roman;serif"/>
                          <w:b w:val="false"/>
                          <w:color w:val="000000"/>
                          <w:sz w:val="19"/>
                        </w:rPr>
                        <w:t>Form 10-Q | 17</w:t>
                      </w:r>
                    </w:p>
                  </w:txbxContent>
                </v:textbox>
                <w10:wrap type="none"/>
              </v:rect>
            </w:pict>
          </mc:Fallback>
        </mc:AlternateContent>
      </w:r>
    </w:p>
    <w:p>
      <w:pPr>
        <w:pStyle w:val="TextBody"/>
        <w:bidi w:val="0"/>
        <w:spacing w:lineRule="auto" w:line="288" w:before="0" w:after="0"/>
        <w:jc w:val="left"/>
        <w:rPr/>
      </w:pPr>
      <w:hyperlink w:anchor="i004be9cfd92c48c78448e0b03d16957e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NOTE 9—DEBT</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carrying value of the Company’s outstanding debt is summarized as follows (in thousands):</w:t>
      </w:r>
    </w:p>
    <w:tbl>
      <w:tblPr>
        <w:tblW w:w="7172" w:type="dxa"/>
        <w:jc w:val="left"/>
        <w:tblInd w:w="0" w:type="dxa"/>
        <w:tblLayout w:type="fixed"/>
        <w:tblCellMar>
          <w:top w:w="28" w:type="dxa"/>
          <w:left w:w="28" w:type="dxa"/>
          <w:bottom w:w="28" w:type="dxa"/>
          <w:right w:w="28" w:type="dxa"/>
        </w:tblCellMar>
      </w:tblPr>
      <w:tblGrid>
        <w:gridCol w:w="1613"/>
        <w:gridCol w:w="1415"/>
        <w:gridCol w:w="1426"/>
        <w:gridCol w:w="221"/>
        <w:gridCol w:w="865"/>
        <w:gridCol w:w="114"/>
        <w:gridCol w:w="109"/>
        <w:gridCol w:w="109"/>
        <w:gridCol w:w="109"/>
        <w:gridCol w:w="211"/>
        <w:gridCol w:w="826"/>
        <w:gridCol w:w="154"/>
      </w:tblGrid>
      <w:tr>
        <w:trPr/>
        <w:tc>
          <w:tcPr>
            <w:tcW w:w="1613"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r>
          </w:p>
        </w:tc>
      </w:tr>
      <w:tr>
        <w:trPr/>
        <w:tc>
          <w:tcPr>
            <w:tcW w:w="4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Term loan A facility maturing March 2028 </w:t>
            </w:r>
            <w:r>
              <w:rPr>
                <w:rFonts w:ascii="Times New Roman;serif" w:hAnsi="Times New Roman;serif"/>
                <w:b w:val="false"/>
                <w:color w:val="000000"/>
                <w:sz w:val="13"/>
              </w:rPr>
              <w:t>(1)</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104,211 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2.125% Convertible senior notes due May 2029</w:t>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280,721 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279,334 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0.750% Convertible senior notes due August 2025</w:t>
            </w:r>
            <w:r>
              <w:rPr>
                <w:color w:val="000000"/>
              </w:rPr>
              <w:t xml:space="preserve"> </w:t>
            </w:r>
            <w:r>
              <w:rPr>
                <w:rFonts w:ascii="Times New Roman;serif" w:hAnsi="Times New Roman;serif"/>
                <w:b w:val="false"/>
                <w:color w:val="000000"/>
                <w:sz w:val="13"/>
              </w:rPr>
              <w:t>(2)</w:t>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201,776 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Revolving Credit Facility </w:t>
            </w:r>
            <w:r>
              <w:rPr>
                <w:rFonts w:ascii="Times New Roman;serif" w:hAnsi="Times New Roman;serif"/>
                <w:b w:val="false"/>
                <w:color w:val="000000"/>
                <w:sz w:val="13"/>
              </w:rPr>
              <w:t>(1)</w:t>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96,000 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w:t>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376,721 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585,321 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rFonts w:ascii="Times New Roman;serif" w:hAnsi="Times New Roman;serif"/>
          <w:b w:val="false"/>
          <w:color w:val="000000"/>
          <w:sz w:val="17"/>
        </w:rPr>
      </w:pPr>
      <w:r>
        <w:rPr>
          <w:rFonts w:ascii="Times New Roman;serif" w:hAnsi="Times New Roman;serif"/>
          <w:b w:val="false"/>
          <w:color w:val="000000"/>
          <w:sz w:val="17"/>
        </w:rPr>
        <w:t>(1) In July 2025, the Company repaid the indebtedness outstanding under its TLA Credit Agreement (as defined below) and terminated the TLA Credit Agreement concurrently with its entry into the Revolving Credit Facility (as defined below).</w:t>
      </w:r>
    </w:p>
    <w:p>
      <w:pPr>
        <w:pStyle w:val="TextBody"/>
        <w:bidi w:val="0"/>
        <w:spacing w:lineRule="auto" w:line="288" w:before="60" w:after="283"/>
        <w:jc w:val="left"/>
        <w:rPr>
          <w:rFonts w:ascii="Times New Roman;serif" w:hAnsi="Times New Roman;serif"/>
          <w:b w:val="false"/>
          <w:color w:val="000000"/>
          <w:sz w:val="17"/>
        </w:rPr>
      </w:pPr>
      <w:r>
        <w:rPr>
          <w:rFonts w:ascii="Times New Roman;serif" w:hAnsi="Times New Roman;serif"/>
          <w:b w:val="false"/>
          <w:color w:val="000000"/>
          <w:sz w:val="17"/>
        </w:rPr>
        <w:t>(2) The 0.750% convertible senior notes matured and were repaid on August 1, 2025.</w:t>
      </w:r>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Revolving Credit Facility</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On July 3, 2025, the Company entered into a credit agreement (the “Credit Agreement”) with Wells Fargo Bank, N.A., as administrative agent, swingline lender and an issuing bank, and certain lenders, to, among other things, retire the indebtedness outstanding under the Company’s then-existing TLA Credit Agreement and provide ongoing working capital. </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Credit Agreement provides for a senior secured revolving credit facility (the “Revolving Credit Facility”) in an aggregate commitment amount of $300.0 million, with a letter of credit sublimit of $10.0 million and swingline loan sublimit of $15.0 million. The credit facility is secured by substantially all of the Company’s and each subsidiary guarantor’s assets and is scheduled to mature on July 3, 2030, subject to certain exceptions set forth in the Credit Agreement. Subject to certain conditions, the Company may, at any time, on one or more occasions, add one or more new classes of term facilities and/or increase the principal amount of any existing class of term loans by requesting one or more incremental term facilities in an aggregate principal amount not to exceed the greater of $225.0 million and 100% of Consolidated Earnings Before Interest Taxes Depreciation and Amortization (EBITDA) (as defined in the Credit Agreement).</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Each revolving loan borrowing which is an alternate base rate borrowing will bear interest at a rate per annum equal to (i) a base rate, plus (ii) a spread based on the Company’s Senior Secured Net Leverage Ratio (as defined in the Credit Agreement) ranging from 1.50% to 2.25%. Each revolving loan borrowing which is a term benchmark borrowing or daily simple SOFR (as defined in the Credit Agreement) borrowing will bear interest at a rate per annum equal to (i) a forward-looking term rate based on SOFR or a rate determined by reference to the daily simple SOFR, plus (ii) a spread based on the Company’s Senior Secured Net Leverage Ratio ranging from 2.50% to 3.25%.</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Credit Agreement also contains customary affirmative and negative covenants, financial covenants, representations and warranties, events of default and other provisions. As of September 30, 2025, the Company was in compliance with all covenants under the Credit Agreement. </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 incurred financing fees of approximately $2.1 million which are recorded as a noncurrent other asset on the Company’s condensed consolidated balance sheet. The financing fees will be amortized over the term of the Credit Agreement.</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Upon entering into the Credit Agreement, the Company borrowed $101.0 million under the Revolving Credit Facility, of which $96.0 million is outstanding as of September 30, 2025 after the Company made repayments of $5.0 million during the nine months ended September 30, 2025. </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As of September 30, 2025, borrowings under the Revolving Credit Facility consisted entirely of term SOFR borrowings at an approximate all-in rate of 6.91%.</w:t>
      </w:r>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2028 Term Loan A Facility</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On March 31, 2023, the Company entered into a credit agreement (as amended and/or restated to date, the “TLA Credit Agreement”) with JPMorgan Chase Bank, N.A., as administrative agent, and certain lenders. The term loan issued under the TLA Credit Agreement (the “TLA Term Loan”) was issued at a 0.30% discount and provided for a single-advance term loan A facility in the principal amount of $150.0 million, which was secured by substantially all of the Company’s and any subsidiary guarantor’s assets. The net proceeds of the TLA Term Loan were approximately $149.6 million after deducting an original issue discount of $0.4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75260"/>
                <wp:effectExtent l="0" t="0" r="0" b="0"/>
                <wp:wrapNone/>
                <wp:docPr id="20" name="Frame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Q3 </w:t>
                            </w:r>
                            <w:r>
                              <w:rPr>
                                <w:rFonts w:ascii="Times New Roman;serif" w:hAnsi="Times New Roman;serif"/>
                                <w:b w:val="false"/>
                                <w:color w:val="000000"/>
                                <w:sz w:val="20"/>
                              </w:rPr>
                              <w:t>2025</w:t>
                            </w:r>
                            <w:r>
                              <w:rPr>
                                <w:color w:val="000000"/>
                              </w:rPr>
                              <w:t xml:space="preserve"> </w:t>
                            </w:r>
                            <w:r>
                              <w:rPr>
                                <w:rFonts w:ascii="Times New Roman;serif" w:hAnsi="Times New Roman;serif"/>
                                <w:b w:val="false"/>
                                <w:color w:val="000000"/>
                                <w:sz w:val="19"/>
                              </w:rPr>
                              <w:t>Form 10-Q | 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Q3 </w:t>
                      </w:r>
                      <w:r>
                        <w:rPr>
                          <w:rFonts w:ascii="Times New Roman;serif" w:hAnsi="Times New Roman;serif"/>
                          <w:b w:val="false"/>
                          <w:color w:val="000000"/>
                          <w:sz w:val="20"/>
                        </w:rPr>
                        <w:t>2025</w:t>
                      </w:r>
                      <w:r>
                        <w:rPr>
                          <w:color w:val="000000"/>
                        </w:rPr>
                        <w:t xml:space="preserve"> </w:t>
                      </w:r>
                      <w:r>
                        <w:rPr>
                          <w:rFonts w:ascii="Times New Roman;serif" w:hAnsi="Times New Roman;serif"/>
                          <w:b w:val="false"/>
                          <w:color w:val="000000"/>
                          <w:sz w:val="19"/>
                        </w:rPr>
                        <w:t>Form 10-Q | 18</w:t>
                      </w:r>
                    </w:p>
                  </w:txbxContent>
                </v:textbox>
                <w10:wrap type="none"/>
              </v:rect>
            </w:pict>
          </mc:Fallback>
        </mc:AlternateContent>
      </w:r>
    </w:p>
    <w:p>
      <w:pPr>
        <w:pStyle w:val="TextBody"/>
        <w:bidi w:val="0"/>
        <w:spacing w:lineRule="auto" w:line="288" w:before="0" w:after="0"/>
        <w:jc w:val="left"/>
        <w:rPr/>
      </w:pPr>
      <w:hyperlink w:anchor="i004be9cfd92c48c78448e0b03d16957e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On May 8, 2024, the Company, JPMorgan Chase Bank, N.A., as administrative agent, and certain lenders entered into a first amendment (the “First TLA Amendment”) to the TLA Credit Agreement. The First TLA Amendment, among other things, permitted the Company’s share repurchase program and the Capped Call Transactions (as defined and described below).</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TLA Term Loan was scheduled to mature on March 31, 2028 and the TLA Credit Agreement required quarterly repayments of principal in the amount of $2.8 million which commenced on June 30, 2023 and increased to $3.8 million on March 31, 2025, with an originally stated balloon payment of approximately $85.3 million due at maturity.</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On July 3, 2025, the Company used a portion of the $300.0 million of Revolving Credit Facility to repay the remaining indebtedness outstanding under the TLA Credit Agreement, which consisted of $98.8 million and its final interest payment of $0.1 million, and terminated the TLA Credit Agreement. The Company did not incur any prepayment penalties or fees in connection with the termination of the TLA Credit Agreement. The prepayment resulted in a loss on early extinguishment of debt of approximately $1.0 million which was recognized during the three months ended September 30, 2025. Prior to the TLA Credit Agreement extinguishment, the Company made voluntary principal prepayments of $6.6 million during the nine months ended September 30, 2025 and $11.3 million during the year ended December 31, 2024.</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total debt composition of the TLA Term Loan was as follows (in thousands):</w:t>
      </w:r>
    </w:p>
    <w:tbl>
      <w:tblPr>
        <w:tblW w:w="6921" w:type="dxa"/>
        <w:jc w:val="left"/>
        <w:tblInd w:w="0" w:type="dxa"/>
        <w:tblLayout w:type="fixed"/>
        <w:tblCellMar>
          <w:top w:w="28" w:type="dxa"/>
          <w:left w:w="28" w:type="dxa"/>
          <w:bottom w:w="28" w:type="dxa"/>
          <w:right w:w="28" w:type="dxa"/>
        </w:tblCellMar>
      </w:tblPr>
      <w:tblGrid>
        <w:gridCol w:w="1917"/>
        <w:gridCol w:w="1682"/>
        <w:gridCol w:w="1695"/>
        <w:gridCol w:w="109"/>
        <w:gridCol w:w="109"/>
        <w:gridCol w:w="109"/>
        <w:gridCol w:w="109"/>
        <w:gridCol w:w="211"/>
        <w:gridCol w:w="826"/>
        <w:gridCol w:w="154"/>
      </w:tblGrid>
      <w:tr>
        <w:trPr/>
        <w:tc>
          <w:tcPr>
            <w:tcW w:w="1917" w:type="dxa"/>
            <w:tcBorders/>
            <w:vAlign w:val="center"/>
          </w:tcPr>
          <w:p>
            <w:pPr>
              <w:pStyle w:val="TableContents"/>
              <w:bidi w:val="0"/>
              <w:spacing w:before="0" w:after="283"/>
              <w:jc w:val="left"/>
              <w:rPr>
                <w:sz w:val="4"/>
                <w:szCs w:val="4"/>
              </w:rPr>
            </w:pPr>
            <w:r>
              <w:rPr>
                <w:sz w:val="4"/>
                <w:szCs w:val="4"/>
              </w:rPr>
            </w:r>
          </w:p>
        </w:tc>
        <w:tc>
          <w:tcPr>
            <w:tcW w:w="1682" w:type="dxa"/>
            <w:tcBorders/>
            <w:vAlign w:val="center"/>
          </w:tcPr>
          <w:p>
            <w:pPr>
              <w:pStyle w:val="TableContents"/>
              <w:bidi w:val="0"/>
              <w:spacing w:before="0" w:after="283"/>
              <w:jc w:val="left"/>
              <w:rPr>
                <w:sz w:val="4"/>
                <w:szCs w:val="4"/>
              </w:rPr>
            </w:pPr>
            <w:r>
              <w:rPr>
                <w:sz w:val="4"/>
                <w:szCs w:val="4"/>
              </w:rPr>
            </w:r>
          </w:p>
        </w:tc>
        <w:tc>
          <w:tcPr>
            <w:tcW w:w="16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r>
          </w:p>
        </w:tc>
      </w:tr>
      <w:tr>
        <w:trPr/>
        <w:tc>
          <w:tcPr>
            <w:tcW w:w="5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52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Term loan A facility maturing March 2028</w:t>
            </w:r>
            <w:r>
              <w:rPr>
                <w:color w:val="000000"/>
              </w:rPr>
              <w:t xml:space="preserve"> </w:t>
            </w:r>
            <w:r>
              <w:rPr>
                <w:rFonts w:ascii="Times New Roman;serif" w:hAnsi="Times New Roman;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105,313 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financing costs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Discount on debt</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debt, net of debt discount and deferred financing costs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104,211 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Convertible Senior Notes Due 2029</w:t>
      </w:r>
    </w:p>
    <w:p>
      <w:pPr>
        <w:pStyle w:val="TextBody"/>
        <w:bidi w:val="0"/>
        <w:spacing w:lineRule="auto" w:line="288" w:before="180" w:after="283"/>
        <w:ind w:left="0" w:right="0" w:firstLine="450"/>
        <w:jc w:val="left"/>
        <w:rPr/>
      </w:pPr>
      <w:r>
        <w:rPr>
          <w:rFonts w:ascii="Times New Roman;serif" w:hAnsi="Times New Roman;serif"/>
          <w:b w:val="false"/>
          <w:color w:val="000000"/>
          <w:sz w:val="20"/>
        </w:rPr>
        <w:t>In May 2024, the Company completed a private placement of $287.5 million in aggregate principal amount of its 2.125% convertible senior notes due 2029, or 2029 Notes, and entered into an indenture with Computershare Corporate Trust, N.A., or 2029 Indenture, with respect to the 2029 Notes. The 2029 Notes accrue interest at a fixed rate of 2.125% per year, payable semiannually in arrears on May 15</w:t>
      </w:r>
      <w:r>
        <w:rPr>
          <w:rFonts w:ascii="Times New Roman;serif" w:hAnsi="Times New Roman;serif"/>
          <w:b w:val="false"/>
          <w:color w:val="000000"/>
          <w:sz w:val="13"/>
        </w:rPr>
        <w:t>th</w:t>
      </w:r>
      <w:r>
        <w:rPr>
          <w:color w:val="000000"/>
        </w:rPr>
        <w:t xml:space="preserve"> </w:t>
      </w:r>
      <w:r>
        <w:rPr>
          <w:rFonts w:ascii="Times New Roman;serif" w:hAnsi="Times New Roman;serif"/>
          <w:b w:val="false"/>
          <w:color w:val="000000"/>
          <w:sz w:val="20"/>
        </w:rPr>
        <w:t>and November 15</w:t>
      </w:r>
      <w:r>
        <w:rPr>
          <w:rFonts w:ascii="Times New Roman;serif" w:hAnsi="Times New Roman;serif"/>
          <w:b w:val="false"/>
          <w:color w:val="000000"/>
          <w:sz w:val="13"/>
        </w:rPr>
        <w:t>th</w:t>
      </w:r>
      <w:r>
        <w:rPr>
          <w:color w:val="000000"/>
        </w:rPr>
        <w:t xml:space="preserve"> </w:t>
      </w:r>
      <w:r>
        <w:rPr>
          <w:rFonts w:ascii="Times New Roman;serif" w:hAnsi="Times New Roman;serif"/>
          <w:b w:val="false"/>
          <w:color w:val="000000"/>
          <w:sz w:val="20"/>
        </w:rPr>
        <w:t>of each year. The 2029 Notes mature on May 15, 2029.</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total debt composition of the 2029 Notes is as follows (in thousands):</w:t>
      </w:r>
    </w:p>
    <w:tbl>
      <w:tblPr>
        <w:tblW w:w="6693" w:type="dxa"/>
        <w:jc w:val="left"/>
        <w:tblInd w:w="0" w:type="dxa"/>
        <w:tblLayout w:type="fixed"/>
        <w:tblCellMar>
          <w:top w:w="28" w:type="dxa"/>
          <w:left w:w="28" w:type="dxa"/>
          <w:bottom w:w="28" w:type="dxa"/>
          <w:right w:w="28" w:type="dxa"/>
        </w:tblCellMar>
      </w:tblPr>
      <w:tblGrid>
        <w:gridCol w:w="1440"/>
        <w:gridCol w:w="1265"/>
        <w:gridCol w:w="1270"/>
        <w:gridCol w:w="221"/>
        <w:gridCol w:w="865"/>
        <w:gridCol w:w="114"/>
        <w:gridCol w:w="109"/>
        <w:gridCol w:w="109"/>
        <w:gridCol w:w="109"/>
        <w:gridCol w:w="211"/>
        <w:gridCol w:w="826"/>
        <w:gridCol w:w="154"/>
      </w:tblGrid>
      <w:tr>
        <w:trPr/>
        <w:tc>
          <w:tcPr>
            <w:tcW w:w="1440"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r>
          </w:p>
        </w:tc>
      </w:tr>
      <w:tr>
        <w:trPr/>
        <w:tc>
          <w:tcPr>
            <w:tcW w:w="3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2.125% convertible senior notes due May 2029</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287,500 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287,500 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financing costs</w:t>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(6,779)</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(8,166)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debt, net of deferred financing costs</w:t>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280,721 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279,334 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Holders may convert their 2029 Notes prior to the close of business on the business day immediately preceding November 15, 2028, only if certain circumstances are met, including, but not limited to, if during the previous calendar quarter, the last reported sales price of the Company’s common stock was greater than 130% of the conversion price then applicable for at least 20 out of the last 30 consecutive trading days of the quarter. During the quarter ended September 30, 2025, the conditions for conversion were not met. On or after November 15, 2028, until the close of business on the second scheduled trading day immediately preceding May 15, 2029, holders may convert their 2029 Notes at any time.</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Upon conversion, holders will receive the principal amount of their 2029 Notes and any excess conversion value, calculated based on the per share volume-weighted average price for each of the 50 consecutive trading days during the observation period (as more fully described in the 2029 Indenture). For the principal, the Company will settle in cash per the terms of the 2029 Notes. For any excess conversion value, holders may receive cash, shares of the Company’s common stock or a combination of cash and shares of the Company’s common stock, at the Company’s option. The initial conversion rate for the 2029 Notes is 25.2752 shares of common stock per $1,000 principal amount, which is equivalent to an initial conversion price of $39.56 per share of the Company’s common stock. The conversion rate will be subject to adjustment in some events but will not be adjusted for any accrued and unpaid interest. The initial conversion price of the 2029 Notes represents a premium of approximately 32.5% to the closing sale price of $29.86 per share of the Company’s common stock on the Nasdaq Global Select Market on May 9, 2024, the date that the Company priced the private offering of the 2029 Notes.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75260"/>
                <wp:effectExtent l="0" t="0" r="0" b="0"/>
                <wp:wrapNone/>
                <wp:docPr id="21" name="Frame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Q3 </w:t>
                            </w:r>
                            <w:r>
                              <w:rPr>
                                <w:rFonts w:ascii="Times New Roman;serif" w:hAnsi="Times New Roman;serif"/>
                                <w:b w:val="false"/>
                                <w:color w:val="000000"/>
                                <w:sz w:val="20"/>
                              </w:rPr>
                              <w:t>2025</w:t>
                            </w:r>
                            <w:r>
                              <w:rPr>
                                <w:color w:val="000000"/>
                              </w:rPr>
                              <w:t xml:space="preserve"> </w:t>
                            </w:r>
                            <w:r>
                              <w:rPr>
                                <w:rFonts w:ascii="Times New Roman;serif" w:hAnsi="Times New Roman;serif"/>
                                <w:b w:val="false"/>
                                <w:color w:val="000000"/>
                                <w:sz w:val="19"/>
                              </w:rPr>
                              <w:t>Form 10-Q | 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Q3 </w:t>
                      </w:r>
                      <w:r>
                        <w:rPr>
                          <w:rFonts w:ascii="Times New Roman;serif" w:hAnsi="Times New Roman;serif"/>
                          <w:b w:val="false"/>
                          <w:color w:val="000000"/>
                          <w:sz w:val="20"/>
                        </w:rPr>
                        <w:t>2025</w:t>
                      </w:r>
                      <w:r>
                        <w:rPr>
                          <w:color w:val="000000"/>
                        </w:rPr>
                        <w:t xml:space="preserve"> </w:t>
                      </w:r>
                      <w:r>
                        <w:rPr>
                          <w:rFonts w:ascii="Times New Roman;serif" w:hAnsi="Times New Roman;serif"/>
                          <w:b w:val="false"/>
                          <w:color w:val="000000"/>
                          <w:sz w:val="19"/>
                        </w:rPr>
                        <w:t>Form 10-Q | 19</w:t>
                      </w:r>
                    </w:p>
                  </w:txbxContent>
                </v:textbox>
                <w10:wrap type="none"/>
              </v:rect>
            </w:pict>
          </mc:Fallback>
        </mc:AlternateContent>
      </w:r>
    </w:p>
    <w:p>
      <w:pPr>
        <w:pStyle w:val="TextBody"/>
        <w:bidi w:val="0"/>
        <w:spacing w:lineRule="auto" w:line="288" w:before="0" w:after="0"/>
        <w:jc w:val="left"/>
        <w:rPr/>
      </w:pPr>
      <w:hyperlink w:anchor="i004be9cfd92c48c78448e0b03d16957e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As of September 30, 2025, the 2029 Notes had a market price of $1,014 per $1,000 principal amount. In the event of conversion, holders would forgo all future interest payments, any unpaid accrued interest and the possibility of further stock price appreciation. Upon the receipt of conversion requests, the settlement of the 2029 Notes will be paid pursuant to the terms of the 2029 Indenture. In the event that all of the 2029 Notes are converted, the Company would be required to repay the $287.5 million in principal value in cash, whereas any conversion premium would be required to be repaid in any combination of cash and shares of its common stock (at the Company’s option).</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Prior to the close of business on the business day immediately preceding November 15, 2028, the 2029 Notes are convertible only under the following circumstances: (1) during any calendar quarter commencing after the calendar quarter ending on June 30, 2024 (and only during such calendar quarter), if the last reported sale price of the Common Stock for at least 20 trading days (whether or not consecutive) during a period of 30 consecutive trading days ending on the last trading day of the immediately preceding calendar quarter is equal to or greater than 130% of the conversion price on each applicable trading day; (2) during the five business-day period after any five consecutive trading-day period (the “measurement period”) in which the trading price per $1,000 principal amount of the 2029 Notes for each trading day of the measurement period was less than 98% of the product of the last reported sale price of the Company’s common stock and the conversion rate on each such trading day; (3) upon the occurrence of specified corporate events; or (4) upon a Company redemption. On or after November 15, 2028, until the close of business on the second scheduled trading day immediately preceding May 15, 2029, holders of the 2029 Notes may convert all or a portion of their 2029 Notes, at any time. No sinking fund is provided for the 2029 Notes. </w:t>
      </w:r>
    </w:p>
    <w:p>
      <w:pPr>
        <w:pStyle w:val="TextBody"/>
        <w:bidi w:val="0"/>
        <w:spacing w:lineRule="auto" w:line="288" w:before="180" w:after="283"/>
        <w:ind w:left="0" w:right="0" w:firstLine="450"/>
        <w:jc w:val="left"/>
        <w:rPr/>
      </w:pPr>
      <w:r>
        <w:rPr>
          <w:rFonts w:ascii="Times New Roman;serif" w:hAnsi="Times New Roman;serif"/>
          <w:b w:val="false"/>
          <w:color w:val="000000"/>
          <w:sz w:val="20"/>
        </w:rPr>
        <w:t>On or after May 17, 2027 and on or before the 50</w:t>
      </w:r>
      <w:r>
        <w:rPr>
          <w:rFonts w:ascii="Times New Roman;serif" w:hAnsi="Times New Roman;serif"/>
          <w:b w:val="false"/>
          <w:color w:val="000000"/>
          <w:sz w:val="13"/>
        </w:rPr>
        <w:t>th</w:t>
      </w:r>
      <w:r>
        <w:rPr>
          <w:color w:val="000000"/>
        </w:rPr>
        <w:t xml:space="preserve"> </w:t>
      </w:r>
      <w:r>
        <w:rPr>
          <w:rFonts w:ascii="Times New Roman;serif" w:hAnsi="Times New Roman;serif"/>
          <w:b w:val="false"/>
          <w:color w:val="000000"/>
          <w:sz w:val="20"/>
        </w:rPr>
        <w:t>scheduled trading day immediately before the maturity date, the Company may redeem for cash all or part of the 2029 Notes if (i) the 2029 Notes are “freely tradable” (as defined in the 2029 Indenture) and any accrued and unpaid additional interest has been paid as of the date the Company sends the related notice of the redemption and (ii) the last reported sales price of the Company’s common stock exceeds 130% of the conversion price then in effect for (1) each of at least 20 trading days (whether or not consecutive) during any 30 consecutive trading days ending on, and including, the trading day immediately before the date the Company sends the related notice of the redemption; and (2) the trading day immediately before the date the Company sends such notice. The redemption price of each 2029 Note to be redeemed will be the principal amount of such 2029 Note, plus accrued and unpaid interest, if any. In addition, calling any 2029 Notes for redemption will constitute a make-whole fundamental change, in which case the conversion rate applicable to those 2029 Notes, if converted in connection with the redemption, will be increased in certain circumstances. Upon the occurrence of a “make-whole fundamental change” (as defined in the 2029 Indenture), subject to a limited exception for certain cash mergers, holders may require the Company to repurchase all or a portion of their 2029 Notes for cash at a price equal to 100% of the principal amount of the 2029 Notes to be repurchased plus any accrued and unpaid interest.</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While the 2029 Notes are currently classified on the Company’s condensed consolidated balance sheet at September 30, 2025 as long-term debt, the future convertibility and resulting balance sheet classification of this liability is monitored at each quarterly reporting date and is analyzed dependent upon market prices of the Company’s common stock during the prescribed measurement periods. In the event that the holders of the 2029 Notes have the election to convert the 2029 Notes at any time during the prescribed measurement period, the 2029 Notes would then be considered a current obligation and classified as such.</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On May 9, 2024, in connection with the pricing of the 2029 Notes, and on May 10, 2024, in connection with the exercise in full by the initial purchasers of the 2029 Notes (the “Initial Purchasers”) of their option to purchase additional 2029 Notes, the Company entered into privately negotiated capped call transactions (the “Capped Call Transactions”) with certain of the Initial Purchasers of the 2029 Notes and/or their respective affiliates and/or other financial institutions (the “Option Counterparties”). The Capped Call Transactions are expected to cover, subject to anti-dilution adjustments substantially similar to those applicable to the 2029 Notes, the number of shares of the Company’s common stock underlying the 2029 Notes.</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Capped Call Transactions are expected to reduce the potential dilution to the Company’s common stock upon any conversion of the 2029 Notes and/or offset any potential cash payments the Company is required to make in excess of the principal amount of converted 2029 Notes, as the case may be, upon any conversion of the 2029 Notes, with such reduction and/or offset subject to a cap. The cap price of the Capped Call Transactions will initially be approximately $53.75 per share, representing a premium of approximately 80% over the closing price of $29.86 per share of the Company’s common stock on May 9, 2024, and is subject to certain adjustments under the terms of the Capped Call Transactions. The capped call was recorded as a reduction to additional paid-in capital at its cost of $26.7 million, partially offset by a $6.5 million deferred tax asset.</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Capped Call Transactions are separate transactions entered into by the Company with the Option Counterparties, are not part of the terms of the 2029 Notes and will not affect any holder’s rights under the 2029 Notes. Holders of the 2029 Notes will not have any rights with respect to the Capped Call Transactions.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75260"/>
                <wp:effectExtent l="0" t="0" r="0" b="0"/>
                <wp:wrapNone/>
                <wp:docPr id="22" name="Frame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Q3 </w:t>
                            </w:r>
                            <w:r>
                              <w:rPr>
                                <w:rFonts w:ascii="Times New Roman;serif" w:hAnsi="Times New Roman;serif"/>
                                <w:b w:val="false"/>
                                <w:color w:val="000000"/>
                                <w:sz w:val="20"/>
                              </w:rPr>
                              <w:t>2025</w:t>
                            </w:r>
                            <w:r>
                              <w:rPr>
                                <w:color w:val="000000"/>
                              </w:rPr>
                              <w:t xml:space="preserve"> </w:t>
                            </w:r>
                            <w:r>
                              <w:rPr>
                                <w:rFonts w:ascii="Times New Roman;serif" w:hAnsi="Times New Roman;serif"/>
                                <w:b w:val="false"/>
                                <w:color w:val="000000"/>
                                <w:sz w:val="19"/>
                              </w:rPr>
                              <w:t>Form 10-Q | 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Q3 </w:t>
                      </w:r>
                      <w:r>
                        <w:rPr>
                          <w:rFonts w:ascii="Times New Roman;serif" w:hAnsi="Times New Roman;serif"/>
                          <w:b w:val="false"/>
                          <w:color w:val="000000"/>
                          <w:sz w:val="20"/>
                        </w:rPr>
                        <w:t>2025</w:t>
                      </w:r>
                      <w:r>
                        <w:rPr>
                          <w:color w:val="000000"/>
                        </w:rPr>
                        <w:t xml:space="preserve"> </w:t>
                      </w:r>
                      <w:r>
                        <w:rPr>
                          <w:rFonts w:ascii="Times New Roman;serif" w:hAnsi="Times New Roman;serif"/>
                          <w:b w:val="false"/>
                          <w:color w:val="000000"/>
                          <w:sz w:val="19"/>
                        </w:rPr>
                        <w:t>Form 10-Q | 20</w:t>
                      </w:r>
                    </w:p>
                  </w:txbxContent>
                </v:textbox>
                <w10:wrap type="none"/>
              </v:rect>
            </w:pict>
          </mc:Fallback>
        </mc:AlternateContent>
      </w:r>
    </w:p>
    <w:p>
      <w:pPr>
        <w:pStyle w:val="TextBody"/>
        <w:bidi w:val="0"/>
        <w:spacing w:lineRule="auto" w:line="288" w:before="0" w:after="0"/>
        <w:jc w:val="left"/>
        <w:rPr/>
      </w:pPr>
      <w:hyperlink w:anchor="i004be9cfd92c48c78448e0b03d16957e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Convertible Senior Notes Due 2025</w:t>
      </w:r>
    </w:p>
    <w:p>
      <w:pPr>
        <w:pStyle w:val="TextBody"/>
        <w:bidi w:val="0"/>
        <w:spacing w:lineRule="auto" w:line="288" w:before="180" w:after="283"/>
        <w:ind w:left="0" w:right="0" w:firstLine="450"/>
        <w:jc w:val="left"/>
        <w:rPr/>
      </w:pPr>
      <w:r>
        <w:rPr>
          <w:rFonts w:ascii="Times New Roman;serif" w:hAnsi="Times New Roman;serif"/>
          <w:b w:val="false"/>
          <w:color w:val="000000"/>
          <w:sz w:val="20"/>
        </w:rPr>
        <w:t>In July 2020, the Company completed a private placement of $402.5 million in aggregate principal amount of 0.750% convertible senior notes due 2025, or 2025 Notes, and entered into an indenture with Computershare Corporate Trust, N.A. (formerly Wells Fargo Bank, N.A.), or 2025 Indenture, with respect to the 2025 Notes. The 2025 Notes accrued interest at a fixed rate of 0.750% per year, which was payable semiannually in arrears on February 1</w:t>
      </w:r>
      <w:r>
        <w:rPr>
          <w:rFonts w:ascii="Times New Roman;serif" w:hAnsi="Times New Roman;serif"/>
          <w:b w:val="false"/>
          <w:color w:val="000000"/>
          <w:sz w:val="13"/>
        </w:rPr>
        <w:t>st</w:t>
      </w:r>
      <w:r>
        <w:rPr>
          <w:color w:val="000000"/>
        </w:rPr>
        <w:t xml:space="preserve"> </w:t>
      </w:r>
      <w:r>
        <w:rPr>
          <w:rFonts w:ascii="Times New Roman;serif" w:hAnsi="Times New Roman;serif"/>
          <w:b w:val="false"/>
          <w:color w:val="000000"/>
          <w:sz w:val="20"/>
        </w:rPr>
        <w:t>and August 1</w:t>
      </w:r>
      <w:r>
        <w:rPr>
          <w:rFonts w:ascii="Times New Roman;serif" w:hAnsi="Times New Roman;serif"/>
          <w:b w:val="false"/>
          <w:color w:val="000000"/>
          <w:sz w:val="13"/>
        </w:rPr>
        <w:t>st</w:t>
      </w:r>
      <w:r>
        <w:rPr>
          <w:color w:val="000000"/>
        </w:rPr>
        <w:t xml:space="preserve"> </w:t>
      </w:r>
      <w:r>
        <w:rPr>
          <w:rFonts w:ascii="Times New Roman;serif" w:hAnsi="Times New Roman;serif"/>
          <w:b w:val="false"/>
          <w:color w:val="000000"/>
          <w:sz w:val="20"/>
        </w:rPr>
        <w:t xml:space="preserve">of each year. </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In May 2024, the Company used part of the net proceeds from the issuance of the 2029 Notes to repurchase $200.0 million aggregate principal amount of the 2025 Notes in privately negotiated transactions at a discount for $191.4 million in cash (including accrued interest). The partial repurchase of the 2025 Notes resulted in a $7.5 million gain on early extinguishment of debt during the year ended December 31, 2024. </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On August 1, 2025, the 2025 Notes matured and the Company settled the remaining outstanding principal balance of $202.5 million in cash. Between February 3, 2025 and the close of business on the second scheduled trading day immediately preceding August 1, 2025, holders could have converted their 2025 Notes at any time. Upon the maturity of the 2025 Notes, a nominal gain on extinguishment of debt was recognized due to certain holders having converted their 2025 Notes.</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total debt composition of the 2025 Notes was as follows (in thousands):</w:t>
      </w:r>
    </w:p>
    <w:tbl>
      <w:tblPr>
        <w:tblW w:w="5812" w:type="dxa"/>
        <w:jc w:val="left"/>
        <w:tblInd w:w="0" w:type="dxa"/>
        <w:tblLayout w:type="fixed"/>
        <w:tblCellMar>
          <w:top w:w="28" w:type="dxa"/>
          <w:left w:w="28" w:type="dxa"/>
          <w:bottom w:w="28" w:type="dxa"/>
          <w:right w:w="28" w:type="dxa"/>
        </w:tblCellMar>
      </w:tblPr>
      <w:tblGrid>
        <w:gridCol w:w="1516"/>
        <w:gridCol w:w="1332"/>
        <w:gridCol w:w="1337"/>
        <w:gridCol w:w="109"/>
        <w:gridCol w:w="109"/>
        <w:gridCol w:w="109"/>
        <w:gridCol w:w="109"/>
        <w:gridCol w:w="211"/>
        <w:gridCol w:w="826"/>
        <w:gridCol w:w="154"/>
      </w:tblGrid>
      <w:tr>
        <w:trPr/>
        <w:tc>
          <w:tcPr>
            <w:tcW w:w="1516"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r>
          </w:p>
        </w:tc>
      </w:tr>
      <w:tr>
        <w:trPr/>
        <w:tc>
          <w:tcPr>
            <w:tcW w:w="4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0.750% convertible senior notes due August 2025</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202,500 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financing costs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debt, net of deferred financing costs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201,776 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Convertible Senior Notes Due 2024 Assumed from the Flexion Acquisition</w:t>
      </w:r>
    </w:p>
    <w:p>
      <w:pPr>
        <w:pStyle w:val="TextBody"/>
        <w:bidi w:val="0"/>
        <w:spacing w:lineRule="auto" w:line="288" w:before="180" w:after="283"/>
        <w:ind w:left="0" w:right="0" w:firstLine="450"/>
        <w:jc w:val="left"/>
        <w:rPr/>
      </w:pPr>
      <w:r>
        <w:rPr>
          <w:rFonts w:ascii="Times New Roman;serif" w:hAnsi="Times New Roman;serif"/>
          <w:b w:val="false"/>
          <w:color w:val="000000"/>
          <w:sz w:val="20"/>
        </w:rPr>
        <w:t>Prior to the Flexion Acquisition, in May 2017, Flexion issued an aggregate of $201.3 million principal amount of 3.375% convertible senior notes due May 1, 2024 (the “Flexion 2024 Notes”), pursuant to an indenture between Flexion and Computershare Corporate Trust, N.A. (formerly Wells Fargo Bank, N.A.), as trustee (the “Flexion Trustee”), as supplemented by the First Supplemental Indenture, dated as of November 19, 2021, between Flexion and the Flexion Trustee. Interest was payable semi-annually on May 1</w:t>
      </w:r>
      <w:r>
        <w:rPr>
          <w:rFonts w:ascii="Times New Roman;serif" w:hAnsi="Times New Roman;serif"/>
          <w:b w:val="false"/>
          <w:color w:val="000000"/>
          <w:sz w:val="13"/>
        </w:rPr>
        <w:t>st</w:t>
      </w:r>
      <w:r>
        <w:rPr>
          <w:color w:val="000000"/>
        </w:rPr>
        <w:t xml:space="preserve"> </w:t>
      </w:r>
      <w:r>
        <w:rPr>
          <w:rFonts w:ascii="Times New Roman;serif" w:hAnsi="Times New Roman;serif"/>
          <w:b w:val="false"/>
          <w:color w:val="000000"/>
          <w:sz w:val="20"/>
        </w:rPr>
        <w:t>and November 1</w:t>
      </w:r>
      <w:r>
        <w:rPr>
          <w:rFonts w:ascii="Times New Roman;serif" w:hAnsi="Times New Roman;serif"/>
          <w:b w:val="false"/>
          <w:color w:val="000000"/>
          <w:sz w:val="13"/>
        </w:rPr>
        <w:t>st</w:t>
      </w:r>
      <w:r>
        <w:rPr>
          <w:color w:val="000000"/>
        </w:rPr>
        <w:t xml:space="preserve"> </w:t>
      </w:r>
      <w:r>
        <w:rPr>
          <w:rFonts w:ascii="Times New Roman;serif" w:hAnsi="Times New Roman;serif"/>
          <w:b w:val="false"/>
          <w:color w:val="000000"/>
          <w:sz w:val="20"/>
        </w:rPr>
        <w:t xml:space="preserve">of each year. Upon the Flexion Acquisition, the principal was assumed and recorded at fair value by the Company. </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On January 7, 2022, following the expiration of the offer to purchase, the Company accepted the $192.6 million aggregate principal amount of Flexion 2024 Notes that were validly tendered (and not validly withdrawn). No Flexion 2024 Notes were converted in connection with the Notice. The remaining principal of $8.6 million was repaid at maturity on May 1, 2024. </w:t>
      </w:r>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Interest Expense</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the total interest expense recognized in the periods presented (dollar amounts in thousands):</w:t>
      </w:r>
    </w:p>
    <w:tbl>
      <w:tblPr>
        <w:tblW w:w="8627" w:type="dxa"/>
        <w:jc w:val="left"/>
        <w:tblInd w:w="0" w:type="dxa"/>
        <w:tblLayout w:type="fixed"/>
        <w:tblCellMar>
          <w:top w:w="28" w:type="dxa"/>
          <w:left w:w="28" w:type="dxa"/>
          <w:bottom w:w="28" w:type="dxa"/>
          <w:right w:w="28" w:type="dxa"/>
        </w:tblCellMar>
      </w:tblPr>
      <w:tblGrid>
        <w:gridCol w:w="1085"/>
        <w:gridCol w:w="954"/>
        <w:gridCol w:w="960"/>
        <w:gridCol w:w="211"/>
        <w:gridCol w:w="616"/>
        <w:gridCol w:w="271"/>
        <w:gridCol w:w="109"/>
        <w:gridCol w:w="109"/>
        <w:gridCol w:w="109"/>
        <w:gridCol w:w="211"/>
        <w:gridCol w:w="616"/>
        <w:gridCol w:w="271"/>
        <w:gridCol w:w="109"/>
        <w:gridCol w:w="109"/>
        <w:gridCol w:w="109"/>
        <w:gridCol w:w="211"/>
        <w:gridCol w:w="721"/>
        <w:gridCol w:w="271"/>
        <w:gridCol w:w="109"/>
        <w:gridCol w:w="109"/>
        <w:gridCol w:w="109"/>
        <w:gridCol w:w="211"/>
        <w:gridCol w:w="721"/>
        <w:gridCol w:w="316"/>
      </w:tblGrid>
      <w:tr>
        <w:trPr/>
        <w:tc>
          <w:tcPr>
            <w:tcW w:w="1085"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top w:val="single" w:sz="8" w:space="0" w:color="FFFFFF"/>
              <w:left w:val="single" w:sz="8" w:space="0" w:color="FFFFFF"/>
            </w:tcBorders>
            <w:tcMar>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w:t>
              <w:br/>
              <w:t>September 30,</w:t>
            </w:r>
          </w:p>
        </w:tc>
      </w:tr>
      <w:tr>
        <w:trPr/>
        <w:tc>
          <w:tcPr>
            <w:tcW w:w="2999" w:type="dxa"/>
            <w:gridSpan w:val="3"/>
            <w:tcBorders>
              <w:top w:val="single" w:sz="8" w:space="0" w:color="FFFFFF"/>
              <w:left w:val="single" w:sz="8" w:space="0" w:color="FFFFFF"/>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Contractual interest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11,282 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11,404 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debt issuance costs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2,284 </w:t>
            </w:r>
          </w:p>
        </w:tc>
        <w:tc>
          <w:tcPr>
            <w:tcW w:w="316" w:type="dxa"/>
            <w:tcBorders>
              <w:right w:val="single" w:sz="8" w:space="0" w:color="FFFFFF"/>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debt discount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Capitalized interest (Note 6)</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(1,869)</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13,554 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11,889 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Effective interest rate on total debt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75260"/>
                <wp:effectExtent l="0" t="0" r="0" b="0"/>
                <wp:wrapNone/>
                <wp:docPr id="23" name="Frame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Q3 </w:t>
                            </w:r>
                            <w:r>
                              <w:rPr>
                                <w:rFonts w:ascii="Times New Roman;serif" w:hAnsi="Times New Roman;serif"/>
                                <w:b w:val="false"/>
                                <w:color w:val="000000"/>
                                <w:sz w:val="20"/>
                              </w:rPr>
                              <w:t>2025</w:t>
                            </w:r>
                            <w:r>
                              <w:rPr>
                                <w:color w:val="000000"/>
                              </w:rPr>
                              <w:t xml:space="preserve"> </w:t>
                            </w:r>
                            <w:r>
                              <w:rPr>
                                <w:rFonts w:ascii="Times New Roman;serif" w:hAnsi="Times New Roman;serif"/>
                                <w:b w:val="false"/>
                                <w:color w:val="000000"/>
                                <w:sz w:val="19"/>
                              </w:rPr>
                              <w:t>Form 10-Q | 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Q3 </w:t>
                      </w:r>
                      <w:r>
                        <w:rPr>
                          <w:rFonts w:ascii="Times New Roman;serif" w:hAnsi="Times New Roman;serif"/>
                          <w:b w:val="false"/>
                          <w:color w:val="000000"/>
                          <w:sz w:val="20"/>
                        </w:rPr>
                        <w:t>2025</w:t>
                      </w:r>
                      <w:r>
                        <w:rPr>
                          <w:color w:val="000000"/>
                        </w:rPr>
                        <w:t xml:space="preserve"> </w:t>
                      </w:r>
                      <w:r>
                        <w:rPr>
                          <w:rFonts w:ascii="Times New Roman;serif" w:hAnsi="Times New Roman;serif"/>
                          <w:b w:val="false"/>
                          <w:color w:val="000000"/>
                          <w:sz w:val="19"/>
                        </w:rPr>
                        <w:t>Form 10-Q | 21</w:t>
                      </w:r>
                    </w:p>
                  </w:txbxContent>
                </v:textbox>
                <w10:wrap type="none"/>
              </v:rect>
            </w:pict>
          </mc:Fallback>
        </mc:AlternateContent>
      </w:r>
    </w:p>
    <w:p>
      <w:pPr>
        <w:pStyle w:val="TextBody"/>
        <w:bidi w:val="0"/>
        <w:spacing w:lineRule="auto" w:line="288" w:before="0" w:after="0"/>
        <w:jc w:val="left"/>
        <w:rPr/>
      </w:pPr>
      <w:hyperlink w:anchor="i004be9cfd92c48c78448e0b03d16957e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NOTE 10—FINANCIAL INSTRUMENTS</w:t>
      </w:r>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Fair Value Measurements</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Fair value is defined as the price that would be received to sell an asset or be paid to transfer a liability in the principal or most advantageous market in an orderly transaction. To increase consistency and comparability in fair value measurements, the FASB established a three-level hierarchy which requires an entity to maximize the use of observable inputs and minimize the use of unobservable inputs when measuring fair value. The three levels of fair value measurements are:</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i/>
          <w:color w:val="000000"/>
          <w:sz w:val="20"/>
        </w:rPr>
        <w:t xml:space="preserve">Level 1: </w:t>
      </w:r>
      <w:r>
        <w:rPr>
          <w:rFonts w:ascii="Times New Roman;serif" w:hAnsi="Times New Roman;serif"/>
          <w:b w:val="false"/>
          <w:color w:val="000000"/>
          <w:sz w:val="20"/>
        </w:rPr>
        <w:t>Quoted prices (unadjusted) in active markets that are accessible at the measurement date for assets or liabilities. The fair value hierarchy gives the highest priority to Level 1 inputs.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i/>
          <w:color w:val="000000"/>
          <w:sz w:val="20"/>
        </w:rPr>
        <w:t>Level 2:</w:t>
      </w:r>
      <w:r>
        <w:rPr>
          <w:color w:val="000000"/>
        </w:rPr>
        <w:t xml:space="preserve"> </w:t>
      </w:r>
      <w:r>
        <w:rPr>
          <w:rFonts w:ascii="Times New Roman;serif" w:hAnsi="Times New Roman;serif"/>
          <w:b w:val="false"/>
          <w:color w:val="000000"/>
          <w:sz w:val="20"/>
        </w:rPr>
        <w:t>Observable prices that are based on inputs not quoted on active markets, but corroborated by market data.</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i/>
          <w:color w:val="000000"/>
          <w:sz w:val="20"/>
        </w:rPr>
        <w:t>Level 3:</w:t>
      </w:r>
      <w:r>
        <w:rPr>
          <w:color w:val="000000"/>
        </w:rPr>
        <w:t xml:space="preserve"> </w:t>
      </w:r>
      <w:r>
        <w:rPr>
          <w:rFonts w:ascii="Times New Roman;serif" w:hAnsi="Times New Roman;serif"/>
          <w:b w:val="false"/>
          <w:color w:val="000000"/>
          <w:sz w:val="20"/>
        </w:rPr>
        <w:t>Unobservable inputs that are used when little or no market data is available. The fair value hierarchy gives the lowest priority to Level 3 inputs.</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carrying value of financial instruments including cash and cash equivalents, accounts receivable and accounts payable approximate their respective fair values due to the short-term nature of these items. The fair value of the Company’s convertible senior notes and its revolving line of credit are calculated utilizing market quotations from an over-the-counter trading market for these notes (Level 2). The fair value of the Company’s acquisition-related contingent consideration is reported at fair value on a recurring basis (Level 3). The carrying amount of equity investments and convertible notes receivable without readily determinable fair values are recorded at cost minus impairment, if any, plus or minus observable price changes of identical or similar investments.</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At September 30, 2025, the carrying values and fair values of the following financial assets and liabilities were as follows (in thousands):</w:t>
      </w:r>
    </w:p>
    <w:tbl>
      <w:tblPr>
        <w:tblW w:w="10205" w:type="dxa"/>
        <w:jc w:val="left"/>
        <w:tblInd w:w="0" w:type="dxa"/>
        <w:tblLayout w:type="fixed"/>
        <w:tblCellMar>
          <w:top w:w="28" w:type="dxa"/>
          <w:left w:w="28" w:type="dxa"/>
          <w:bottom w:w="28" w:type="dxa"/>
          <w:right w:w="28" w:type="dxa"/>
        </w:tblCellMar>
      </w:tblPr>
      <w:tblGrid>
        <w:gridCol w:w="1988"/>
        <w:gridCol w:w="1359"/>
        <w:gridCol w:w="1363"/>
        <w:gridCol w:w="109"/>
        <w:gridCol w:w="109"/>
        <w:gridCol w:w="109"/>
        <w:gridCol w:w="225"/>
        <w:gridCol w:w="885"/>
        <w:gridCol w:w="116"/>
        <w:gridCol w:w="109"/>
        <w:gridCol w:w="109"/>
        <w:gridCol w:w="109"/>
        <w:gridCol w:w="211"/>
        <w:gridCol w:w="406"/>
        <w:gridCol w:w="109"/>
        <w:gridCol w:w="109"/>
        <w:gridCol w:w="109"/>
        <w:gridCol w:w="109"/>
        <w:gridCol w:w="211"/>
        <w:gridCol w:w="826"/>
        <w:gridCol w:w="109"/>
        <w:gridCol w:w="109"/>
        <w:gridCol w:w="109"/>
        <w:gridCol w:w="109"/>
        <w:gridCol w:w="211"/>
        <w:gridCol w:w="721"/>
        <w:gridCol w:w="157"/>
      </w:tblGrid>
      <w:tr>
        <w:trPr/>
        <w:tc>
          <w:tcPr>
            <w:tcW w:w="1988"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vMerge w:val="restart"/>
            <w:tcBorders>
              <w:top w:val="single" w:sz="8" w:space="0" w:color="FFFFFF"/>
              <w:left w:val="single" w:sz="8" w:space="0" w:color="FFFFFF"/>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Carrying Value</w:t>
            </w:r>
          </w:p>
        </w:tc>
        <w:tc>
          <w:tcPr>
            <w:tcW w:w="327" w:type="dxa"/>
            <w:gridSpan w:val="3"/>
            <w:tcBorders>
              <w:top w:val="single" w:sz="8" w:space="0" w:color="FFFFFF"/>
              <w:left w:val="single" w:sz="8" w:space="0" w:color="FFFFFF"/>
            </w:tcBorders>
            <w:tcMar>
              <w:bottom w:w="0" w:type="dxa"/>
              <w:right w:w="0" w:type="dxa"/>
            </w:tcMar>
            <w:vAlign w:val="center"/>
          </w:tcPr>
          <w:p>
            <w:pPr>
              <w:pStyle w:val="TableContents"/>
              <w:bidi w:val="0"/>
              <w:spacing w:before="0" w:after="283"/>
              <w:jc w:val="left"/>
              <w:rPr>
                <w:sz w:val="4"/>
                <w:szCs w:val="4"/>
              </w:rPr>
            </w:pPr>
            <w:r>
              <w:rPr>
                <w:sz w:val="4"/>
                <w:szCs w:val="4"/>
              </w:rPr>
            </w:r>
          </w:p>
        </w:tc>
        <w:tc>
          <w:tcPr>
            <w:tcW w:w="361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 Measurements Using</w:t>
            </w:r>
          </w:p>
        </w:tc>
      </w:tr>
      <w:tr>
        <w:trPr/>
        <w:tc>
          <w:tcPr>
            <w:tcW w:w="4710"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left w:val="single" w:sz="8" w:space="0" w:color="FFFFFF"/>
              <w:right w:val="single" w:sz="8" w:space="0" w:color="FFFFFF"/>
            </w:tcBorders>
            <w:tcMar>
              <w:bottom w:w="0" w:type="dxa"/>
            </w:tcMar>
            <w:vAlign w:val="center"/>
          </w:tcPr>
          <w:p>
            <w:pPr>
              <w:pStyle w:val="TableContents"/>
              <w:bidi w:val="0"/>
              <w:spacing w:before="0" w:after="283"/>
              <w:jc w:val="left"/>
              <w:rPr>
                <w:sz w:val="4"/>
                <w:szCs w:val="4"/>
              </w:rPr>
            </w:pPr>
            <w:r>
              <w:rPr>
                <w:sz w:val="4"/>
                <w:szCs w:val="4"/>
              </w:rPr>
            </w:r>
          </w:p>
        </w:tc>
        <w:tc>
          <w:tcPr>
            <w:tcW w:w="1226" w:type="dxa"/>
            <w:gridSpan w:val="3"/>
            <w:vMerge w:val="continue"/>
            <w:tcBorders>
              <w:top w:val="single" w:sz="8" w:space="0" w:color="FFFFFF"/>
              <w:left w:val="single" w:sz="8" w:space="0" w:color="FFFFFF"/>
            </w:tcBorders>
            <w:tcMar>
              <w:top w:w="30" w:type="dxa"/>
              <w:bottom w:w="0" w:type="dxa"/>
              <w:right w:w="0" w:type="dxa"/>
            </w:tcMar>
            <w:vAlign w:val="center"/>
          </w:tcPr>
          <w:p>
            <w:pPr>
              <w:pStyle w:val="Normal"/>
              <w:bidi w:val="0"/>
              <w:jc w:val="left"/>
              <w:rPr/>
            </w:pPr>
            <w:r>
              <w:rPr/>
            </w:r>
          </w:p>
        </w:tc>
        <w:tc>
          <w:tcPr>
            <w:tcW w:w="327" w:type="dxa"/>
            <w:gridSpan w:val="3"/>
            <w:tcBorders>
              <w:top w:val="single" w:sz="8" w:space="0" w:color="FFFFFF"/>
              <w:left w:val="single" w:sz="8" w:space="0" w:color="FFFFFF"/>
            </w:tcBorders>
            <w:tcMar>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left w:val="single" w:sz="8" w:space="0" w:color="FFFFFF"/>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1</w:t>
            </w:r>
          </w:p>
        </w:tc>
        <w:tc>
          <w:tcPr>
            <w:tcW w:w="327" w:type="dxa"/>
            <w:gridSpan w:val="3"/>
            <w:tcBorders>
              <w:top w:val="single" w:sz="8" w:space="0" w:color="000000"/>
              <w:left w:val="single" w:sz="8" w:space="0" w:color="FFFFFF"/>
            </w:tcBorders>
            <w:tcMar>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left w:val="single" w:sz="8" w:space="0" w:color="FFFFFF"/>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2</w:t>
            </w:r>
          </w:p>
        </w:tc>
        <w:tc>
          <w:tcPr>
            <w:tcW w:w="327" w:type="dxa"/>
            <w:gridSpan w:val="3"/>
            <w:tcBorders>
              <w:top w:val="single" w:sz="8" w:space="0" w:color="000000"/>
              <w:left w:val="single" w:sz="8" w:space="0" w:color="FFFFFF"/>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left w:val="single" w:sz="8" w:space="0" w:color="FFFFFF"/>
              <w:right w:val="single" w:sz="8" w:space="0" w:color="FFFFFF"/>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3</w:t>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Financial Assets and Financial Liabilities Measured at Fair Value on a Recurring Basis: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Convertible notes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Acquisition-related contingent consideration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17,834 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17,834 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Financial Liabilities Measured at Amortized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val="false"/>
                <w:color w:val="000000"/>
                <w:sz w:val="20"/>
              </w:rPr>
              <w:t xml:space="preserve">2.125% convertible senior notes due 2029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280,721 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291,453 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Revolving Credit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96,000 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ind w:left="0" w:right="0" w:firstLine="450"/>
        <w:jc w:val="left"/>
        <w:rPr>
          <w:rFonts w:ascii="Times New Roman;serif" w:hAnsi="Times New Roman;serif"/>
          <w:b w:val="false"/>
          <w:color w:val="000000"/>
          <w:sz w:val="17"/>
        </w:rPr>
      </w:pPr>
      <w:r>
        <w:rPr>
          <w:rFonts w:ascii="Times New Roman;serif" w:hAnsi="Times New Roman;serif"/>
          <w:b w:val="false"/>
          <w:color w:val="000000"/>
          <w:sz w:val="17"/>
        </w:rPr>
        <w:t>(1) The closing price of the Company’s common stock as reported on the Nasdaq Global Select Market was $25.77 per share on September 30, 2025, compared to a conversion price of $39.56 per share. At September 30, 2025, as the conversion price was above the stock price, the requirements for conversion have not been met.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75260"/>
                <wp:effectExtent l="0" t="0" r="0" b="0"/>
                <wp:wrapNone/>
                <wp:docPr id="24" name="Frame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Q3 </w:t>
                            </w:r>
                            <w:r>
                              <w:rPr>
                                <w:rFonts w:ascii="Times New Roman;serif" w:hAnsi="Times New Roman;serif"/>
                                <w:b w:val="false"/>
                                <w:color w:val="000000"/>
                                <w:sz w:val="20"/>
                              </w:rPr>
                              <w:t>2025</w:t>
                            </w:r>
                            <w:r>
                              <w:rPr>
                                <w:color w:val="000000"/>
                              </w:rPr>
                              <w:t xml:space="preserve"> </w:t>
                            </w:r>
                            <w:r>
                              <w:rPr>
                                <w:rFonts w:ascii="Times New Roman;serif" w:hAnsi="Times New Roman;serif"/>
                                <w:b w:val="false"/>
                                <w:color w:val="000000"/>
                                <w:sz w:val="19"/>
                              </w:rPr>
                              <w:t>Form 10-Q | 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Q3 </w:t>
                      </w:r>
                      <w:r>
                        <w:rPr>
                          <w:rFonts w:ascii="Times New Roman;serif" w:hAnsi="Times New Roman;serif"/>
                          <w:b w:val="false"/>
                          <w:color w:val="000000"/>
                          <w:sz w:val="20"/>
                        </w:rPr>
                        <w:t>2025</w:t>
                      </w:r>
                      <w:r>
                        <w:rPr>
                          <w:color w:val="000000"/>
                        </w:rPr>
                        <w:t xml:space="preserve"> </w:t>
                      </w:r>
                      <w:r>
                        <w:rPr>
                          <w:rFonts w:ascii="Times New Roman;serif" w:hAnsi="Times New Roman;serif"/>
                          <w:b w:val="false"/>
                          <w:color w:val="000000"/>
                          <w:sz w:val="19"/>
                        </w:rPr>
                        <w:t>Form 10-Q | 22</w:t>
                      </w:r>
                    </w:p>
                  </w:txbxContent>
                </v:textbox>
                <w10:wrap type="none"/>
              </v:rect>
            </w:pict>
          </mc:Fallback>
        </mc:AlternateContent>
      </w:r>
    </w:p>
    <w:p>
      <w:pPr>
        <w:pStyle w:val="TextBody"/>
        <w:bidi w:val="0"/>
        <w:spacing w:lineRule="auto" w:line="288" w:before="0" w:after="0"/>
        <w:jc w:val="left"/>
        <w:rPr/>
      </w:pPr>
      <w:hyperlink w:anchor="i004be9cfd92c48c78448e0b03d16957e_7">
        <w:r>
          <w:rPr>
            <w:rStyle w:val="InternetLink"/>
            <w:rFonts w:ascii="Times New Roman;serif" w:hAnsi="Times New Roman;serif"/>
            <w:b w:val="false"/>
            <w:color w:val="0000FF"/>
            <w:sz w:val="20"/>
            <w:u w:val="single"/>
          </w:rPr>
          <w:t>Table of Contents</w:t>
        </w:r>
      </w:hyperlink>
    </w:p>
    <w:p>
      <w:pPr>
        <w:pStyle w:val="TextBody"/>
        <w:bidi w:val="0"/>
        <w:spacing w:lineRule="auto" w:line="276" w:before="180" w:after="283"/>
        <w:jc w:val="left"/>
        <w:rPr>
          <w:rFonts w:ascii="Times New Roman;serif" w:hAnsi="Times New Roman;serif"/>
          <w:b/>
          <w:i/>
          <w:color w:val="000000"/>
          <w:sz w:val="20"/>
        </w:rPr>
      </w:pPr>
      <w:r>
        <w:rPr>
          <w:rFonts w:ascii="Times New Roman;serif" w:hAnsi="Times New Roman;serif"/>
          <w:b/>
          <w:i/>
          <w:color w:val="000000"/>
          <w:sz w:val="20"/>
        </w:rPr>
        <w:t>Financial Assets and Liabilities Measured at Fair Value on a Recurring Basis</w:t>
      </w:r>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Equity and Convertible Note Investments</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 holds strategic investments in clinical and preclinical stage privately-held biotechnology companies in the form of equity and convertible note investments. The following investments have no readily determinable fair value and are recorded at cost minus impairment, if any, plus or minus observable price changes of identical or similar investments (in thousands):</w:t>
      </w:r>
    </w:p>
    <w:tbl>
      <w:tblPr>
        <w:tblW w:w="9146" w:type="dxa"/>
        <w:jc w:val="left"/>
        <w:tblInd w:w="0" w:type="dxa"/>
        <w:tblLayout w:type="fixed"/>
        <w:tblCellMar>
          <w:top w:w="28" w:type="dxa"/>
          <w:left w:w="28" w:type="dxa"/>
          <w:bottom w:w="28" w:type="dxa"/>
          <w:right w:w="28" w:type="dxa"/>
        </w:tblCellMar>
      </w:tblPr>
      <w:tblGrid>
        <w:gridCol w:w="1130"/>
        <w:gridCol w:w="993"/>
        <w:gridCol w:w="996"/>
        <w:gridCol w:w="109"/>
        <w:gridCol w:w="109"/>
        <w:gridCol w:w="109"/>
        <w:gridCol w:w="328"/>
        <w:gridCol w:w="1121"/>
        <w:gridCol w:w="171"/>
        <w:gridCol w:w="109"/>
        <w:gridCol w:w="109"/>
        <w:gridCol w:w="109"/>
        <w:gridCol w:w="474"/>
        <w:gridCol w:w="1621"/>
        <w:gridCol w:w="245"/>
        <w:gridCol w:w="109"/>
        <w:gridCol w:w="109"/>
        <w:gridCol w:w="109"/>
        <w:gridCol w:w="211"/>
        <w:gridCol w:w="721"/>
        <w:gridCol w:w="154"/>
      </w:tblGrid>
      <w:tr>
        <w:trPr/>
        <w:tc>
          <w:tcPr>
            <w:tcW w:w="1130"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Equity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Convertible Notes Receivable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at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15,877 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12,134 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28,011 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1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at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15,877 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11,898 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27,775 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(7,000)</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Realized gain of prior investments </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4,227 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1,674 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Settled investments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(8,315)</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(5,322)</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(13,637)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at September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7,750 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2,500 </w:t>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10,250 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jc w:val="left"/>
        <w:rPr/>
      </w:pPr>
      <w:r>
        <w:rPr>
          <w:rFonts w:ascii="Times New Roman;serif" w:hAnsi="Times New Roman;serif"/>
          <w:b w:val="false"/>
          <w:color w:val="000000"/>
          <w:sz w:val="17"/>
        </w:rPr>
        <w:t xml:space="preserve">(1) In conjunction with the GQ Bio Acquisition, the settlement of the Company’s prior equity investment and notes receivable were part of the fair value of consideration exchanged. Upon acquiring the remaining 81% ownership interest in GQ Bio, the Company remeasured its previously held equity interest to its acquisition-date fair value. The $4.2 million gain resulting from the equity investment was recognized as other, net within the condensed consolidated statement of operations. In settling the notes receivable, the Company recognized $1.7 million in interest income. See Note 3, </w:t>
      </w:r>
      <w:r>
        <w:rPr>
          <w:rFonts w:ascii="Times New Roman;serif" w:hAnsi="Times New Roman;serif"/>
          <w:b w:val="false"/>
          <w:i/>
          <w:color w:val="000000"/>
          <w:sz w:val="17"/>
        </w:rPr>
        <w:t>GQ Bio Therapeutics Acquisition</w:t>
      </w:r>
      <w:r>
        <w:rPr>
          <w:rFonts w:ascii="Times New Roman;serif" w:hAnsi="Times New Roman;serif"/>
          <w:b w:val="false"/>
          <w:color w:val="000000"/>
          <w:sz w:val="17"/>
        </w:rPr>
        <w:t>, for information on the GQ Bio Acquisition.</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During the nine months ended September 30, 2025, an impairment of an equity investment and convertible note receivable totaling $11.0 million was recorded in other, net in the condensed consolidated statements of operations.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June 2025, the Company invested $1.3 million in a convertible note receivable related to one of its existing early-stage strategic investments.</w:t>
      </w:r>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Acquisition-Related Contingent Consideration</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has recognized contingent consideration related to the Flexion Acquisition in the amount of $17.8 million and $20.2 million as of September 30, 2025 and December 31, 2024, respectively. </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contingent consideration obligations are recorded at their estimated fair values and are revalued each reporting period if and until the related contingencies are resolved. The Company has measured the fair value of its contingent consideration using a Monte Carlo simulation. These inputs include, as applicable, estimated forecasts of revenue and costs and the discount rates used to calculate the present value of estimated future payments. Significant changes may increase or decrease the probabilities of achieving the related commercial and regulatory events, shorten or lengthen the time required to achieve such events, or increase or decrease estimated forecasts. </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In November 2021, the Company completed the Flexion Acquisition, which provided for contingent consideration related to contingent value rights that were issued to Flexion shareholders and certain equity award holders which could aggregate up to a total of $372.3 million if certain regulatory and commercial milestones are met. The aggregate amount was initially $425.5 million prior to the Company’s September 2022 decision to formally discontinue further development of Flexion’s investigational product candidate, PCRX-301. The Company’s obligation to make milestone payments is limited to those milestones achieved through December 31, 2030, and are to be paid within 60 days of the end of the fiscal quarter of achievement. During the three months ended September 30, 2025, the Company recognized contingent consideration charges of $0.6 million due to revisions to the latest discount rates, partially offset by a reduction in the sales forecast through the milestone expiration date. During the nine months ended September 30, 2025, the Company recognized contingent consideration gains of $2.4 million due to revisions to the latest discount rates. During the three and nine months ended September 30, 2024, the Company recognized contingent consideration gains of $3.2 million and $5.5 million, respectively, due to adjustments reflecting the probability of achieving the remaining Flexion regulatory milestone by the milestone expiration date, partially offset by revisions to the latest discount rates. These adjustments were recorded within contingent consideration charges (gains), acquisition-related expenses, restructuring and other in the condensed consolidated statements of operations. At September 30, 2025, the weighted average discount rate was 7.5%.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75260"/>
                <wp:effectExtent l="0" t="0" r="0" b="0"/>
                <wp:wrapNone/>
                <wp:docPr id="25" name="Frame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Q3 </w:t>
                            </w:r>
                            <w:r>
                              <w:rPr>
                                <w:rFonts w:ascii="Times New Roman;serif" w:hAnsi="Times New Roman;serif"/>
                                <w:b w:val="false"/>
                                <w:color w:val="000000"/>
                                <w:sz w:val="20"/>
                              </w:rPr>
                              <w:t>2025</w:t>
                            </w:r>
                            <w:r>
                              <w:rPr>
                                <w:color w:val="000000"/>
                              </w:rPr>
                              <w:t xml:space="preserve"> </w:t>
                            </w:r>
                            <w:r>
                              <w:rPr>
                                <w:rFonts w:ascii="Times New Roman;serif" w:hAnsi="Times New Roman;serif"/>
                                <w:b w:val="false"/>
                                <w:color w:val="000000"/>
                                <w:sz w:val="19"/>
                              </w:rPr>
                              <w:t>Form 10-Q | 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Q3 </w:t>
                      </w:r>
                      <w:r>
                        <w:rPr>
                          <w:rFonts w:ascii="Times New Roman;serif" w:hAnsi="Times New Roman;serif"/>
                          <w:b w:val="false"/>
                          <w:color w:val="000000"/>
                          <w:sz w:val="20"/>
                        </w:rPr>
                        <w:t>2025</w:t>
                      </w:r>
                      <w:r>
                        <w:rPr>
                          <w:color w:val="000000"/>
                        </w:rPr>
                        <w:t xml:space="preserve"> </w:t>
                      </w:r>
                      <w:r>
                        <w:rPr>
                          <w:rFonts w:ascii="Times New Roman;serif" w:hAnsi="Times New Roman;serif"/>
                          <w:b w:val="false"/>
                          <w:color w:val="000000"/>
                          <w:sz w:val="19"/>
                        </w:rPr>
                        <w:t>Form 10-Q | 23</w:t>
                      </w:r>
                    </w:p>
                  </w:txbxContent>
                </v:textbox>
                <w10:wrap type="none"/>
              </v:rect>
            </w:pict>
          </mc:Fallback>
        </mc:AlternateContent>
      </w:r>
    </w:p>
    <w:p>
      <w:pPr>
        <w:pStyle w:val="TextBody"/>
        <w:bidi w:val="0"/>
        <w:spacing w:lineRule="auto" w:line="288" w:before="0" w:after="0"/>
        <w:jc w:val="left"/>
        <w:rPr/>
      </w:pPr>
      <w:hyperlink w:anchor="i004be9cfd92c48c78448e0b03d16957e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includes the key assumptions used in the valuation of the Company’s contingent consideration:</w:t>
      </w:r>
    </w:p>
    <w:tbl>
      <w:tblPr>
        <w:tblW w:w="6942" w:type="dxa"/>
        <w:jc w:val="left"/>
        <w:tblInd w:w="0" w:type="dxa"/>
        <w:tblLayout w:type="fixed"/>
        <w:tblCellMar>
          <w:top w:w="28" w:type="dxa"/>
          <w:left w:w="28" w:type="dxa"/>
          <w:bottom w:w="28" w:type="dxa"/>
          <w:right w:w="28" w:type="dxa"/>
        </w:tblCellMar>
      </w:tblPr>
      <w:tblGrid>
        <w:gridCol w:w="1761"/>
        <w:gridCol w:w="1544"/>
        <w:gridCol w:w="1555"/>
        <w:gridCol w:w="109"/>
        <w:gridCol w:w="109"/>
        <w:gridCol w:w="109"/>
        <w:gridCol w:w="514"/>
        <w:gridCol w:w="514"/>
        <w:gridCol w:w="727"/>
      </w:tblGrid>
      <w:tr>
        <w:trPr/>
        <w:tc>
          <w:tcPr>
            <w:tcW w:w="1761" w:type="dxa"/>
            <w:tcBorders/>
            <w:vAlign w:val="center"/>
          </w:tcPr>
          <w:p>
            <w:pPr>
              <w:pStyle w:val="TableContents"/>
              <w:bidi w:val="0"/>
              <w:spacing w:before="0" w:after="283"/>
              <w:jc w:val="left"/>
              <w:rPr>
                <w:sz w:val="4"/>
                <w:szCs w:val="4"/>
              </w:rPr>
            </w:pPr>
            <w:r>
              <w:rPr>
                <w:sz w:val="4"/>
                <w:szCs w:val="4"/>
              </w:rPr>
            </w:r>
          </w:p>
        </w:tc>
        <w:tc>
          <w:tcPr>
            <w:tcW w:w="1544" w:type="dxa"/>
            <w:tcBorders/>
            <w:vAlign w:val="center"/>
          </w:tcPr>
          <w:p>
            <w:pPr>
              <w:pStyle w:val="TableContents"/>
              <w:bidi w:val="0"/>
              <w:spacing w:before="0" w:after="283"/>
              <w:jc w:val="left"/>
              <w:rPr>
                <w:sz w:val="4"/>
                <w:szCs w:val="4"/>
              </w:rPr>
            </w:pPr>
            <w:r>
              <w:rPr>
                <w:sz w:val="4"/>
                <w:szCs w:val="4"/>
              </w:rPr>
            </w:r>
          </w:p>
        </w:tc>
        <w:tc>
          <w:tcPr>
            <w:tcW w:w="15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r>
      <w:tr>
        <w:trPr/>
        <w:tc>
          <w:tcPr>
            <w:tcW w:w="48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Assumption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Ranges Utilized as of</w:t>
            </w:r>
          </w:p>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September 30, 2025</w:t>
            </w:r>
          </w:p>
        </w:tc>
      </w:tr>
      <w:tr>
        <w:trPr/>
        <w:tc>
          <w:tcPr>
            <w:tcW w:w="48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Discount rates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7.2% to 7.8%</w:t>
            </w:r>
          </w:p>
        </w:tc>
      </w:tr>
      <w:tr>
        <w:trPr/>
        <w:tc>
          <w:tcPr>
            <w:tcW w:w="4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Probability of payment for remaining regulatory milestone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0%</w:t>
            </w:r>
          </w:p>
        </w:tc>
      </w:tr>
      <w:tr>
        <w:trPr/>
        <w:tc>
          <w:tcPr>
            <w:tcW w:w="4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change in the Company’s contingent consideration recorded at fair value using Level 3 measurements is as follows (in thousands):</w:t>
      </w:r>
    </w:p>
    <w:tbl>
      <w:tblPr>
        <w:tblW w:w="5755" w:type="dxa"/>
        <w:jc w:val="left"/>
        <w:tblInd w:w="0" w:type="dxa"/>
        <w:tblLayout w:type="fixed"/>
        <w:tblCellMar>
          <w:top w:w="28" w:type="dxa"/>
          <w:left w:w="28" w:type="dxa"/>
          <w:bottom w:w="28" w:type="dxa"/>
          <w:right w:w="28" w:type="dxa"/>
        </w:tblCellMar>
      </w:tblPr>
      <w:tblGrid>
        <w:gridCol w:w="1185"/>
        <w:gridCol w:w="1041"/>
        <w:gridCol w:w="1043"/>
        <w:gridCol w:w="109"/>
        <w:gridCol w:w="109"/>
        <w:gridCol w:w="109"/>
        <w:gridCol w:w="419"/>
        <w:gridCol w:w="1434"/>
        <w:gridCol w:w="306"/>
      </w:tblGrid>
      <w:tr>
        <w:trPr/>
        <w:tc>
          <w:tcPr>
            <w:tcW w:w="1185"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1434"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Contingent Consideration</w:t>
              <w:br/>
              <w:t>Fair Value</w:t>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at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24,698 </w:t>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adjustments and accretion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(4,457)</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at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20,241 </w:t>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Fair value adjustments and accretion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(2,407)</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59" w:type="dxa"/>
            <w:gridSpan w:val="3"/>
            <w:tcBorders/>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at September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17,834 </w:t>
            </w:r>
          </w:p>
        </w:tc>
        <w:tc>
          <w:tcPr>
            <w:tcW w:w="3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 xml:space="preserve">Available-for-Sale </w:t>
      </w:r>
      <w:bookmarkStart w:id="1" w:name="i6abcc22e75a84beb9419bf2aba726336_9259"/>
      <w:bookmarkEnd w:id="1"/>
      <w:r>
        <w:rPr>
          <w:rFonts w:ascii="Times New Roman;serif" w:hAnsi="Times New Roman;serif"/>
          <w:b w:val="false"/>
          <w:i/>
          <w:color w:val="000000"/>
          <w:sz w:val="20"/>
        </w:rPr>
        <w:t>Investments</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Short-term investments consist of asset-backed securities collateralized by credit card receivables, investment grade commercial paper and corporate, federal agency, government and Yankee bonds with maturities greater than three months, but less than one year. Net unrealized gains and losses (excluding credit losses, if any) from the Company’s short-term investments are reported in other comprehensive income (loss). At September 30, 2025 and December 31, 2024, all of the Company’s short-term investments are classified as available-for-sale investments and are determined to be Level 2 instruments, with the exception of U.S. government bonds, which are measured at fair value using standard industry models with observable inputs. The fair value of the commercial paper is measured based on a standard industry model that uses the three-month U.S. Treasury bill rate as an observable input. The fair value of the asset-backed securities and corporate bonds is principally measured or corroborated by trade data for identical issues in which related trading activity is not sufficiently frequent to be considered a Level 1 input or that of comparable securities. The fair value of U.S. government bonds is based on level 1 trading activity. At the time of purchase, all available-for-sale investments had an “A” or better rating by Standard &amp; Poor’s. </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summarizes the Company’s short-term available-for-sale investments at September 30, 2025 and December 31, 2024 (in thousands):</w:t>
      </w:r>
    </w:p>
    <w:tbl>
      <w:tblPr>
        <w:tblW w:w="8124" w:type="dxa"/>
        <w:jc w:val="left"/>
        <w:tblInd w:w="0" w:type="dxa"/>
        <w:tblLayout w:type="fixed"/>
        <w:tblCellMar>
          <w:top w:w="28" w:type="dxa"/>
          <w:left w:w="28" w:type="dxa"/>
          <w:bottom w:w="28" w:type="dxa"/>
          <w:right w:w="28" w:type="dxa"/>
        </w:tblCellMar>
      </w:tblPr>
      <w:tblGrid>
        <w:gridCol w:w="944"/>
        <w:gridCol w:w="830"/>
        <w:gridCol w:w="835"/>
        <w:gridCol w:w="109"/>
        <w:gridCol w:w="109"/>
        <w:gridCol w:w="109"/>
        <w:gridCol w:w="211"/>
        <w:gridCol w:w="721"/>
        <w:gridCol w:w="109"/>
        <w:gridCol w:w="109"/>
        <w:gridCol w:w="109"/>
        <w:gridCol w:w="109"/>
        <w:gridCol w:w="288"/>
        <w:gridCol w:w="493"/>
        <w:gridCol w:w="150"/>
        <w:gridCol w:w="109"/>
        <w:gridCol w:w="109"/>
        <w:gridCol w:w="109"/>
        <w:gridCol w:w="270"/>
        <w:gridCol w:w="520"/>
        <w:gridCol w:w="141"/>
        <w:gridCol w:w="109"/>
        <w:gridCol w:w="109"/>
        <w:gridCol w:w="109"/>
        <w:gridCol w:w="109"/>
        <w:gridCol w:w="109"/>
        <w:gridCol w:w="211"/>
        <w:gridCol w:w="721"/>
        <w:gridCol w:w="154"/>
      </w:tblGrid>
      <w:tr>
        <w:trPr/>
        <w:tc>
          <w:tcPr>
            <w:tcW w:w="944"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tcMar>
              <w:top w:w="0" w:type="dxa"/>
              <w:left w:w="0" w:type="dxa"/>
              <w:bottom w:w="0" w:type="dxa"/>
              <w:right w:w="0" w:type="dxa"/>
            </w:tcMar>
            <w:vAlign w:val="center"/>
          </w:tcPr>
          <w:p>
            <w:pPr>
              <w:pStyle w:val="TableContents"/>
              <w:bidi w:val="0"/>
              <w:spacing w:lineRule="auto" w:line="240" w:before="180" w:after="283"/>
              <w:jc w:val="left"/>
              <w:rPr>
                <w:rFonts w:ascii="Times New Roman;serif" w:hAnsi="Times New Roman;serif"/>
                <w:b/>
                <w:color w:val="000000"/>
                <w:sz w:val="18"/>
              </w:rPr>
            </w:pPr>
            <w:r>
              <w:rPr>
                <w:rFonts w:ascii="Times New Roman;serif" w:hAnsi="Times New Roman;serif"/>
                <w:b/>
                <w:color w:val="000000"/>
                <w:sz w:val="18"/>
              </w:rPr>
              <w:t>September 30, 2025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Gross</w:t>
              <w:br/>
              <w:t>Unrealized</w:t>
              <w:br/>
              <w:t>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Gross</w:t>
              <w:br/>
              <w:t>Unrealized</w:t>
              <w:b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w:t>
              <w:br/>
              <w:t>(Level 2)</w:t>
            </w:r>
          </w:p>
        </w:tc>
      </w:tr>
      <w:tr>
        <w:trPr/>
        <w:tc>
          <w:tcPr>
            <w:tcW w:w="26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Asset-backed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bonds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6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6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6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6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6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6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6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6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6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98,730 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98,745 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275" w:type="dxa"/>
        <w:jc w:val="left"/>
        <w:tblInd w:w="0" w:type="dxa"/>
        <w:tblLayout w:type="fixed"/>
        <w:tblCellMar>
          <w:top w:w="28" w:type="dxa"/>
          <w:left w:w="28" w:type="dxa"/>
          <w:bottom w:w="28" w:type="dxa"/>
          <w:right w:w="28" w:type="dxa"/>
        </w:tblCellMar>
      </w:tblPr>
      <w:tblGrid>
        <w:gridCol w:w="924"/>
        <w:gridCol w:w="812"/>
        <w:gridCol w:w="814"/>
        <w:gridCol w:w="109"/>
        <w:gridCol w:w="109"/>
        <w:gridCol w:w="109"/>
        <w:gridCol w:w="211"/>
        <w:gridCol w:w="826"/>
        <w:gridCol w:w="109"/>
        <w:gridCol w:w="109"/>
        <w:gridCol w:w="109"/>
        <w:gridCol w:w="109"/>
        <w:gridCol w:w="249"/>
        <w:gridCol w:w="551"/>
        <w:gridCol w:w="131"/>
        <w:gridCol w:w="109"/>
        <w:gridCol w:w="109"/>
        <w:gridCol w:w="109"/>
        <w:gridCol w:w="270"/>
        <w:gridCol w:w="520"/>
        <w:gridCol w:w="141"/>
        <w:gridCol w:w="109"/>
        <w:gridCol w:w="109"/>
        <w:gridCol w:w="109"/>
        <w:gridCol w:w="109"/>
        <w:gridCol w:w="109"/>
        <w:gridCol w:w="211"/>
        <w:gridCol w:w="826"/>
        <w:gridCol w:w="154"/>
      </w:tblGrid>
      <w:tr>
        <w:trPr/>
        <w:tc>
          <w:tcPr>
            <w:tcW w:w="924"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lineRule="auto" w:line="240" w:before="180" w:after="283"/>
              <w:jc w:val="left"/>
              <w:rPr>
                <w:rFonts w:ascii="Times New Roman;serif" w:hAnsi="Times New Roman;serif"/>
                <w:b/>
                <w:color w:val="000000"/>
                <w:sz w:val="18"/>
              </w:rPr>
            </w:pPr>
            <w:r>
              <w:rPr>
                <w:rFonts w:ascii="Times New Roman;serif" w:hAnsi="Times New Roman;serif"/>
                <w:b/>
                <w:color w:val="000000"/>
                <w:sz w:val="18"/>
              </w:rPr>
              <w:t>December 31, 2024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Gross</w:t>
              <w:br/>
              <w:t>Unrealized</w:t>
              <w:br/>
              <w:t>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Gross</w:t>
              <w:br/>
              <w:t>Unrealized</w:t>
              <w:b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w:t>
              <w:br/>
              <w:t>(Level 2)</w:t>
            </w:r>
          </w:p>
        </w:tc>
      </w:tr>
      <w:tr>
        <w:trPr/>
        <w:tc>
          <w:tcPr>
            <w:tcW w:w="25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Asset-backed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142,556 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142,621 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bonds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federal agency bonds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Yankee bond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5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5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5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5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5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5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207,692 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1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207,841 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At September 30, 2025, there were no investments available for sale that were materially less than their amortized cost.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75260"/>
                <wp:effectExtent l="0" t="0" r="0" b="0"/>
                <wp:wrapNone/>
                <wp:docPr id="26" name="Frame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Q3 </w:t>
                            </w:r>
                            <w:r>
                              <w:rPr>
                                <w:rFonts w:ascii="Times New Roman;serif" w:hAnsi="Times New Roman;serif"/>
                                <w:b w:val="false"/>
                                <w:color w:val="000000"/>
                                <w:sz w:val="20"/>
                              </w:rPr>
                              <w:t>2025</w:t>
                            </w:r>
                            <w:r>
                              <w:rPr>
                                <w:color w:val="000000"/>
                              </w:rPr>
                              <w:t xml:space="preserve"> </w:t>
                            </w:r>
                            <w:r>
                              <w:rPr>
                                <w:rFonts w:ascii="Times New Roman;serif" w:hAnsi="Times New Roman;serif"/>
                                <w:b w:val="false"/>
                                <w:color w:val="000000"/>
                                <w:sz w:val="19"/>
                              </w:rPr>
                              <w:t>Form 10-Q | 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Q3 </w:t>
                      </w:r>
                      <w:r>
                        <w:rPr>
                          <w:rFonts w:ascii="Times New Roman;serif" w:hAnsi="Times New Roman;serif"/>
                          <w:b w:val="false"/>
                          <w:color w:val="000000"/>
                          <w:sz w:val="20"/>
                        </w:rPr>
                        <w:t>2025</w:t>
                      </w:r>
                      <w:r>
                        <w:rPr>
                          <w:color w:val="000000"/>
                        </w:rPr>
                        <w:t xml:space="preserve"> </w:t>
                      </w:r>
                      <w:r>
                        <w:rPr>
                          <w:rFonts w:ascii="Times New Roman;serif" w:hAnsi="Times New Roman;serif"/>
                          <w:b w:val="false"/>
                          <w:color w:val="000000"/>
                          <w:sz w:val="19"/>
                        </w:rPr>
                        <w:t>Form 10-Q | 24</w:t>
                      </w:r>
                    </w:p>
                  </w:txbxContent>
                </v:textbox>
                <w10:wrap type="none"/>
              </v:rect>
            </w:pict>
          </mc:Fallback>
        </mc:AlternateContent>
      </w:r>
    </w:p>
    <w:p>
      <w:pPr>
        <w:pStyle w:val="TextBody"/>
        <w:bidi w:val="0"/>
        <w:spacing w:lineRule="auto" w:line="288" w:before="0" w:after="0"/>
        <w:jc w:val="left"/>
        <w:rPr/>
      </w:pPr>
      <w:hyperlink w:anchor="i004be9cfd92c48c78448e0b03d16957e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 elects to recognize its interest receivable separate from its available-for-sale investments. At September 30, 2025 and December 31, 2024, the interest receivable from its available-for-sale investments recognized in prepaid expenses and other current assets was $0.2 million and $0.5 million, respectively.</w:t>
      </w:r>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Credit Risk</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Financial instruments that potentially subject the Company to concentrations of credit risk consist primarily of cash and cash equivalents, short-term and long-term available-for-sale investments and accounts receivable. The Company maintains its cash and cash equivalents with high-credit quality financial institutions. Such amounts may exceed federally-insured limits.</w:t>
      </w:r>
    </w:p>
    <w:p>
      <w:pPr>
        <w:pStyle w:val="TextBody"/>
        <w:bidi w:val="0"/>
        <w:spacing w:lineRule="auto" w:line="288" w:before="180" w:after="180"/>
        <w:ind w:left="0" w:right="0" w:firstLine="450"/>
        <w:jc w:val="left"/>
        <w:rPr/>
      </w:pPr>
      <w:r>
        <w:rPr>
          <w:color w:val="000000"/>
        </w:rPr>
        <w:t> </w:t>
      </w:r>
      <w:r>
        <w:rPr>
          <w:rFonts w:ascii="Times New Roman;serif" w:hAnsi="Times New Roman;serif"/>
          <w:b w:val="false"/>
          <w:color w:val="000000"/>
          <w:sz w:val="20"/>
        </w:rPr>
        <w:t>As of September 30, 2025, three wholesalers each accounted for over 10% of the Company’s accounts receivable, at 33%, 22% and 17%. At December 31, 2024, three wholesalers each accounted for over 10% of the Company’s accounts receivable, at 34%, 18% and 16%. For additional information regarding the Company’s wholesalers, see Note 2</w:t>
      </w:r>
      <w:r>
        <w:rPr>
          <w:rFonts w:ascii="Times New Roman;serif" w:hAnsi="Times New Roman;serif"/>
          <w:b w:val="false"/>
          <w:i/>
          <w:color w:val="000000"/>
          <w:sz w:val="20"/>
        </w:rPr>
        <w:t>, Summary of Significant Accounting Policies</w:t>
      </w:r>
      <w:r>
        <w:rPr>
          <w:rFonts w:ascii="Times New Roman;serif" w:hAnsi="Times New Roman;serif"/>
          <w:b w:val="false"/>
          <w:color w:val="000000"/>
          <w:sz w:val="20"/>
        </w:rPr>
        <w:t>. EXPAREL and ZILRETTA revenues are primarily derived from major wholesalers and specialty distributors that generally have significant cash resources. The Company performs ongoing credit evaluations of its customers as warranted and generally does not require collateral. Allowances for credit losses on the Company’s accounts receivable are maintained based on historical payment patterns, current and estimated future economic conditions, aging of accounts receivable and its write-off history. As of September 30, 2025 and December 31, 2024, there were $0.6 million and $0.4 million of allowances for credit losses on the Company’s accounts receivable,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Times New Roman;serif" w:hAnsi="Times New Roman;serif"/>
          <w:b/>
          <w:color w:val="000000"/>
          <w:sz w:val="20"/>
        </w:rPr>
      </w:pPr>
      <w:r>
        <w:rPr>
          <w:rFonts w:ascii="Times New Roman;serif" w:hAnsi="Times New Roman;serif"/>
          <w:b/>
          <w:color w:val="000000"/>
          <w:sz w:val="20"/>
        </w:rPr>
        <w:t>NOTE 11—STOCKHOLDERS’ EQUITY</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Accumulated Other Comprehensive Income</w:t>
      </w:r>
    </w:p>
    <w:p>
      <w:pPr>
        <w:pStyle w:val="TextBody"/>
        <w:bidi w:val="0"/>
        <w:spacing w:lineRule="auto" w:line="288" w:before="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tables illustrate the changes in the balances of the Company’s accumulated other comprehensive income for the periods presented (in thousands):</w:t>
      </w:r>
    </w:p>
    <w:tbl>
      <w:tblPr>
        <w:tblW w:w="10205" w:type="dxa"/>
        <w:jc w:val="left"/>
        <w:tblInd w:w="0" w:type="dxa"/>
        <w:tblLayout w:type="fixed"/>
        <w:tblCellMar>
          <w:top w:w="28" w:type="dxa"/>
          <w:left w:w="28" w:type="dxa"/>
          <w:bottom w:w="28" w:type="dxa"/>
          <w:right w:w="28" w:type="dxa"/>
        </w:tblCellMar>
      </w:tblPr>
      <w:tblGrid>
        <w:gridCol w:w="871"/>
        <w:gridCol w:w="740"/>
        <w:gridCol w:w="742"/>
        <w:gridCol w:w="109"/>
        <w:gridCol w:w="109"/>
        <w:gridCol w:w="109"/>
        <w:gridCol w:w="766"/>
        <w:gridCol w:w="1694"/>
        <w:gridCol w:w="399"/>
        <w:gridCol w:w="109"/>
        <w:gridCol w:w="109"/>
        <w:gridCol w:w="109"/>
        <w:gridCol w:w="415"/>
        <w:gridCol w:w="1218"/>
        <w:gridCol w:w="217"/>
        <w:gridCol w:w="109"/>
        <w:gridCol w:w="109"/>
        <w:gridCol w:w="109"/>
        <w:gridCol w:w="462"/>
        <w:gridCol w:w="1354"/>
        <w:gridCol w:w="346"/>
      </w:tblGrid>
      <w:tr>
        <w:trPr/>
        <w:tc>
          <w:tcPr>
            <w:tcW w:w="871"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694"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35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23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Net Unrealized Gain (Loss) From Available-For-Sale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Unrealized Foreign Currency Translation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Other Comprehensive Income</w:t>
            </w:r>
          </w:p>
        </w:tc>
      </w:tr>
      <w:tr>
        <w:trPr/>
        <w:tc>
          <w:tcPr>
            <w:tcW w:w="23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at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3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153 </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343 </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val="false"/>
                <w:color w:val="000000"/>
                <w:sz w:val="20"/>
              </w:rPr>
              <w:t xml:space="preserve">Net unrealized loss on investments, net of tax </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Foreign currency translation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3,882 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3,882 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62" w:type="dxa"/>
            <w:gridSpan w:val="3"/>
            <w:tcBorders/>
            <w:vAlign w:val="center"/>
          </w:tcPr>
          <w:p>
            <w:pPr>
              <w:pStyle w:val="TableContents"/>
              <w:bidi w:val="0"/>
              <w:spacing w:before="0" w:after="283"/>
              <w:jc w:val="left"/>
              <w:rPr>
                <w:sz w:val="4"/>
                <w:szCs w:val="4"/>
              </w:rPr>
            </w:pPr>
            <w:r>
              <w:rPr>
                <w:sz w:val="4"/>
                <w:szCs w:val="4"/>
              </w:rPr>
            </w:r>
          </w:p>
        </w:tc>
      </w:tr>
      <w:tr>
        <w:trPr/>
        <w:tc>
          <w:tcPr>
            <w:tcW w:w="23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at September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3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4,035 </w:t>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4,123 </w:t>
            </w:r>
          </w:p>
        </w:tc>
        <w:tc>
          <w:tcPr>
            <w:tcW w:w="3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896"/>
        <w:gridCol w:w="763"/>
        <w:gridCol w:w="765"/>
        <w:gridCol w:w="109"/>
        <w:gridCol w:w="109"/>
        <w:gridCol w:w="109"/>
        <w:gridCol w:w="727"/>
        <w:gridCol w:w="1609"/>
        <w:gridCol w:w="379"/>
        <w:gridCol w:w="109"/>
        <w:gridCol w:w="109"/>
        <w:gridCol w:w="109"/>
        <w:gridCol w:w="506"/>
        <w:gridCol w:w="1119"/>
        <w:gridCol w:w="262"/>
        <w:gridCol w:w="109"/>
        <w:gridCol w:w="109"/>
        <w:gridCol w:w="109"/>
        <w:gridCol w:w="556"/>
        <w:gridCol w:w="1228"/>
        <w:gridCol w:w="414"/>
      </w:tblGrid>
      <w:tr>
        <w:trPr/>
        <w:tc>
          <w:tcPr>
            <w:tcW w:w="896"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6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r>
      <w:tr>
        <w:trPr/>
        <w:tc>
          <w:tcPr>
            <w:tcW w:w="2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Net Unrealized Gain From Available-For-Sale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Unrealized Foreign Currency Translation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Other Comprehensive Income</w:t>
            </w:r>
          </w:p>
        </w:tc>
      </w:tr>
      <w:tr>
        <w:trPr/>
        <w:tc>
          <w:tcPr>
            <w:tcW w:w="24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at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3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247 </w:t>
            </w:r>
          </w:p>
        </w:tc>
        <w:tc>
          <w:tcPr>
            <w:tcW w:w="4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val="false"/>
                <w:color w:val="000000"/>
                <w:sz w:val="20"/>
              </w:rPr>
              <w:t>Net unrealized gain on investments, net of tax</w:t>
            </w:r>
            <w:r>
              <w:rPr>
                <w:color w:val="000000"/>
              </w:rPr>
              <w:t xml:space="preserve"> </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437 </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Foreign currency translation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4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at September 30,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561 </w:t>
            </w:r>
          </w:p>
        </w:tc>
        <w:tc>
          <w:tcPr>
            <w:tcW w:w="3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2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678 </w:t>
            </w:r>
          </w:p>
        </w:tc>
        <w:tc>
          <w:tcPr>
            <w:tcW w:w="4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color w:val="000000"/>
          <w:sz w:val="17"/>
        </w:rPr>
      </w:pPr>
      <w:r>
        <w:rPr>
          <w:rFonts w:ascii="Times New Roman;serif" w:hAnsi="Times New Roman;serif"/>
          <w:b w:val="false"/>
          <w:color w:val="000000"/>
          <w:sz w:val="17"/>
        </w:rPr>
        <w:t xml:space="preserve">(1) Net of a nominal and $0.1 million tax benefit for the nine months ended September 30, 2025 and 2024, respectively. </w:t>
      </w:r>
    </w:p>
    <w:p>
      <w:pPr>
        <w:pStyle w:val="TextBody"/>
        <w:bidi w:val="0"/>
        <w:spacing w:lineRule="auto" w:line="288" w:before="180" w:after="180"/>
        <w:jc w:val="left"/>
        <w:rPr>
          <w:rFonts w:ascii="Times New Roman;serif" w:hAnsi="Times New Roman;serif"/>
          <w:b w:val="false"/>
          <w:i/>
          <w:color w:val="000000"/>
          <w:sz w:val="20"/>
        </w:rPr>
      </w:pPr>
      <w:r>
        <w:rPr>
          <w:rFonts w:ascii="Times New Roman;serif" w:hAnsi="Times New Roman;serif"/>
          <w:b w:val="false"/>
          <w:i/>
          <w:color w:val="000000"/>
          <w:sz w:val="20"/>
        </w:rPr>
        <w:t>Share Repurchase Programs</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On May 7, 2024, the Company announced that its Board of Directors approved a share repurchase program which authorized the Company to repurchase up to an aggregate of $150.0 million of its outstanding common stock. On May 9, 2024, concurrently with the pricing of the offering of the 2029 Notes, the Company entered into separate privately negotiated agreements with certain of the initial purchasers of the 2029 Notes or their respective affiliates and/or certain other financial institutions to repurchase 837,240 shares of the Company’s common stock for a total cost of $25.1 million, inclusive of $0.1 million of accrued excise tax. The repurchase occurred on May 10, 2024.</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On April 17, 2025, the Company announced that its Board of Directors approved a new share repurchase program, which replaced the previously authorized share repurchase program and was effective immediately, which authorizes the Company to repurchase up to an aggregate of $300.0 million of its outstanding common stock. Repurchases under this program may be made at management’s discretion on the open market or through privately negotiated transactions, including plans that comply with Rule 10b5-1 under the Securities Exchange Act of 1934, as amended. The share repurchase program may be suspended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75260"/>
                <wp:effectExtent l="0" t="0" r="0" b="0"/>
                <wp:wrapNone/>
                <wp:docPr id="27" name="Frame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Q3 </w:t>
                            </w:r>
                            <w:r>
                              <w:rPr>
                                <w:rFonts w:ascii="Times New Roman;serif" w:hAnsi="Times New Roman;serif"/>
                                <w:b w:val="false"/>
                                <w:color w:val="000000"/>
                                <w:sz w:val="20"/>
                              </w:rPr>
                              <w:t>2025</w:t>
                            </w:r>
                            <w:r>
                              <w:rPr>
                                <w:color w:val="000000"/>
                              </w:rPr>
                              <w:t xml:space="preserve"> </w:t>
                            </w:r>
                            <w:r>
                              <w:rPr>
                                <w:rFonts w:ascii="Times New Roman;serif" w:hAnsi="Times New Roman;serif"/>
                                <w:b w:val="false"/>
                                <w:color w:val="000000"/>
                                <w:sz w:val="19"/>
                              </w:rPr>
                              <w:t>Form 10-Q | 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Q3 </w:t>
                      </w:r>
                      <w:r>
                        <w:rPr>
                          <w:rFonts w:ascii="Times New Roman;serif" w:hAnsi="Times New Roman;serif"/>
                          <w:b w:val="false"/>
                          <w:color w:val="000000"/>
                          <w:sz w:val="20"/>
                        </w:rPr>
                        <w:t>2025</w:t>
                      </w:r>
                      <w:r>
                        <w:rPr>
                          <w:color w:val="000000"/>
                        </w:rPr>
                        <w:t xml:space="preserve"> </w:t>
                      </w:r>
                      <w:r>
                        <w:rPr>
                          <w:rFonts w:ascii="Times New Roman;serif" w:hAnsi="Times New Roman;serif"/>
                          <w:b w:val="false"/>
                          <w:color w:val="000000"/>
                          <w:sz w:val="19"/>
                        </w:rPr>
                        <w:t>Form 10-Q | 25</w:t>
                      </w:r>
                    </w:p>
                  </w:txbxContent>
                </v:textbox>
                <w10:wrap type="none"/>
              </v:rect>
            </w:pict>
          </mc:Fallback>
        </mc:AlternateContent>
      </w:r>
    </w:p>
    <w:p>
      <w:pPr>
        <w:pStyle w:val="TextBody"/>
        <w:bidi w:val="0"/>
        <w:spacing w:lineRule="auto" w:line="288" w:before="0" w:after="0"/>
        <w:jc w:val="left"/>
        <w:rPr/>
      </w:pPr>
      <w:hyperlink w:anchor="i004be9cfd92c48c78448e0b03d16957e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left"/>
        <w:rPr/>
      </w:pPr>
      <w:r>
        <w:rPr>
          <w:rFonts w:ascii="Times New Roman;serif" w:hAnsi="Times New Roman;serif"/>
          <w:b w:val="false"/>
          <w:color w:val="000000"/>
          <w:sz w:val="20"/>
        </w:rPr>
        <w:t xml:space="preserve">discontinued at any time by the Company and has an expiration date of December 31, 2026. During the nine months ended September 30, 2025, the Company repurchased 3,932,106 shares of its common stock through open market transactions for $100.4 million which included $0.1 million of broker fees and was inclusive of $0.3 million of accrued excise tax. As of September 30, 2025, $200.0 million remains available for future repurchases under this authorization (which excludes the broker fees and excise tax incurred). Refer to Part II Item 2. </w:t>
      </w:r>
      <w:r>
        <w:rPr>
          <w:rFonts w:ascii="Times New Roman;serif" w:hAnsi="Times New Roman;serif"/>
          <w:b w:val="false"/>
          <w:i/>
          <w:color w:val="000000"/>
          <w:sz w:val="20"/>
        </w:rPr>
        <w:t>Unregistered Sales of Equity Securities and Use of Proceeds</w:t>
      </w:r>
      <w:r>
        <w:rPr>
          <w:color w:val="000000"/>
        </w:rPr>
        <w:t xml:space="preserve"> </w:t>
      </w:r>
      <w:r>
        <w:rPr>
          <w:rFonts w:ascii="Times New Roman;serif" w:hAnsi="Times New Roman;serif"/>
          <w:b w:val="false"/>
          <w:color w:val="000000"/>
          <w:sz w:val="20"/>
        </w:rPr>
        <w:t>of this Quarterly Report on Form 10-Q for more information on repurchases occurring during the third quarter of 2025.</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Repurchases of the Company’s common stock are accounted for at cost and recorded as treasury stock. The broker fees incurred and excise tax on repurchases of the Company’s common stock are recorded as a cost of acquiring treasury stock. Any reissued treasury stock will be accounted for at average cost. Gains or losses on reissued treasury stock arising from the difference between the average cost and the fair value of the award will be recorded in additional paid-in capital.</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addition to the Company’s share repurchase plan, during the nine months ended September 30, 2025, the Company withheld 210,423 shares of its common stock to cover employee tax withholding obligations on restricted stock unit vests for $5.5 million. All shares of common stock withheld to cover employee tax withholding obligations are retired and are done so pursuant to the terms of the Company’s stock incentive plans and related equity grant agreements rather than the Company’s share repurchase plan. Retired shares of common stock are not available for future issuance under the Company’s stock incentive plans.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NOTE 12—STOCK PLANS</w:t>
      </w:r>
    </w:p>
    <w:p>
      <w:pPr>
        <w:pStyle w:val="TextBody"/>
        <w:bidi w:val="0"/>
        <w:spacing w:lineRule="auto" w:line="288" w:before="100" w:after="283"/>
        <w:jc w:val="left"/>
        <w:rPr>
          <w:rFonts w:ascii="Times New Roman;serif" w:hAnsi="Times New Roman;serif"/>
          <w:b w:val="false"/>
          <w:i/>
          <w:color w:val="000000"/>
          <w:sz w:val="20"/>
        </w:rPr>
      </w:pPr>
      <w:r>
        <w:rPr>
          <w:rFonts w:ascii="Times New Roman;serif" w:hAnsi="Times New Roman;serif"/>
          <w:b w:val="false"/>
          <w:i/>
          <w:color w:val="000000"/>
          <w:sz w:val="20"/>
        </w:rPr>
        <w:t>Stock Incentive Plans</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Pacira BioSciences, Inc. Amended and Restated 2011 Stock Incentive Plan, or 2011 Plan, was originally adopted by its board of directors and approved by its stockholders in June 2011 and was amended and restated in June 2014, June 2016, June 2019, June 2021, June 2023 and June 2025. The June 2025 amendment and restatement and approval by the Company’s stockholders increased the number of shares of common stock authorized for issuance as equity awards under the 2011 Plan by 2,500,000 shares, which allows for the granting of incentive stock options, non-statutory stock options, restricted stock units and other stock-based awards.</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In April 2014, the Company’s board of directors approved and adopted the Company’s 2014 Inducement Plan (the “2014 Inducement Plan”), pursuant to which awards could be made to new employees under the 2014 Inducement Plan for up to 175,000 shares of the Company’s common stock as a material inducement to such persons entering into employment with the Company. In December 2023, the board of directors, upon recommendation of the people and compensation committee of the board of directors (the “P&amp;C Committee”), adopted the Pacira BioSciences, Inc. Amended and Restated 2014 Inducement Plan (as amended and restated, the “First A&amp;R Inducement Plan”) such that, among other things, an additional 642,093 shares of the Company’s common stock were reserved for issuance. In September 2024, the board of directors, upon the recommendation of the P&amp;C Committee, adopted the Pacira BioSciences, Inc. Amended and Restated 2014 Inducement Plan (as amended and restated, the “Second A&amp;R Inducement Plan”) to add an additional 707,907 shares of the Company’s common stock to bring the total amount of shares reserved for issuance under the Inducement Plan to 1,525,000. In January 2025, the board of directors, upon the recommendation of the P&amp;C Committee, adopted the Pacira BioSciences, Inc. Amended and Restated 2014 Inducement Plan (as amended and restated to date, the “Inducement Plan”) to add an additional 785,000 shares of the Company’s common stock to bring the total amount of shares reserved for issuance under the Inducement Plan to 2,310,000, of which 115,107 shares remained available for issuance as of September 30, 2025, and extend the term of the Inducement Plan such that it will now expire on January 18, 2035. </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Inducement Plan allows for the granting of nonstatutory stock options, restricted stock awards and other stock-based awards, and was adopted by the board of directors without stockholder approval pursuant to Rule 5635(c)(4) of the Nasdaq Stock Market Listing Rules. In accordance with this rule, awards under the Inducement Plan may only be made to an employee who has not previously been an employee or member of the board of directors or the board of directors of any parent or subsidiary, or following a bona fide period of non-employment by the Company or a parent or subsidiary, if they are granted such award in connection with their commencement of employment with the Company or a subsidiary and such grant is an inducement material to their entering into employment with the Company or such subsidiary.</w:t>
      </w:r>
    </w:p>
    <w:p>
      <w:pPr>
        <w:pStyle w:val="TextBody"/>
        <w:bidi w:val="0"/>
        <w:spacing w:lineRule="auto" w:line="288" w:before="100" w:after="100"/>
        <w:jc w:val="left"/>
        <w:rPr>
          <w:rFonts w:ascii="Times New Roman;serif" w:hAnsi="Times New Roman;serif"/>
          <w:b w:val="false"/>
          <w:i/>
          <w:color w:val="000000"/>
          <w:sz w:val="20"/>
        </w:rPr>
      </w:pPr>
      <w:r>
        <w:rPr>
          <w:rFonts w:ascii="Times New Roman;serif" w:hAnsi="Times New Roman;serif"/>
          <w:b w:val="false"/>
          <w:i/>
          <w:color w:val="000000"/>
          <w:sz w:val="20"/>
        </w:rPr>
        <w:t>Inducement Awards</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From time to time, the board of directors, upon recommendation of the P&amp;C Committee, has approved individually negotiated grants of options and restricted stock units for certain of the Company’s officers in connection with their respective appointments, in each case, pursuant to the inducement plan in effect at such time.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75260"/>
                <wp:effectExtent l="0" t="0" r="0" b="0"/>
                <wp:wrapNone/>
                <wp:docPr id="28" name="Frame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Q3 </w:t>
                            </w:r>
                            <w:r>
                              <w:rPr>
                                <w:rFonts w:ascii="Times New Roman;serif" w:hAnsi="Times New Roman;serif"/>
                                <w:b w:val="false"/>
                                <w:color w:val="000000"/>
                                <w:sz w:val="20"/>
                              </w:rPr>
                              <w:t>2025</w:t>
                            </w:r>
                            <w:r>
                              <w:rPr>
                                <w:color w:val="000000"/>
                              </w:rPr>
                              <w:t xml:space="preserve"> </w:t>
                            </w:r>
                            <w:r>
                              <w:rPr>
                                <w:rFonts w:ascii="Times New Roman;serif" w:hAnsi="Times New Roman;serif"/>
                                <w:b w:val="false"/>
                                <w:color w:val="000000"/>
                                <w:sz w:val="19"/>
                              </w:rPr>
                              <w:t>Form 10-Q | 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Q3 </w:t>
                      </w:r>
                      <w:r>
                        <w:rPr>
                          <w:rFonts w:ascii="Times New Roman;serif" w:hAnsi="Times New Roman;serif"/>
                          <w:b w:val="false"/>
                          <w:color w:val="000000"/>
                          <w:sz w:val="20"/>
                        </w:rPr>
                        <w:t>2025</w:t>
                      </w:r>
                      <w:r>
                        <w:rPr>
                          <w:color w:val="000000"/>
                        </w:rPr>
                        <w:t xml:space="preserve"> </w:t>
                      </w:r>
                      <w:r>
                        <w:rPr>
                          <w:rFonts w:ascii="Times New Roman;serif" w:hAnsi="Times New Roman;serif"/>
                          <w:b w:val="false"/>
                          <w:color w:val="000000"/>
                          <w:sz w:val="19"/>
                        </w:rPr>
                        <w:t>Form 10-Q | 26</w:t>
                      </w:r>
                    </w:p>
                  </w:txbxContent>
                </v:textbox>
                <w10:wrap type="none"/>
              </v:rect>
            </w:pict>
          </mc:Fallback>
        </mc:AlternateContent>
      </w:r>
    </w:p>
    <w:p>
      <w:pPr>
        <w:pStyle w:val="TextBody"/>
        <w:bidi w:val="0"/>
        <w:spacing w:lineRule="auto" w:line="288" w:before="0" w:after="0"/>
        <w:jc w:val="left"/>
        <w:rPr/>
      </w:pPr>
      <w:hyperlink w:anchor="i004be9cfd92c48c78448e0b03d16957e_7">
        <w:r>
          <w:rPr>
            <w:rStyle w:val="InternetLink"/>
            <w:rFonts w:ascii="Times New Roman;serif" w:hAnsi="Times New Roman;serif"/>
            <w:b w:val="false"/>
            <w:color w:val="0000FF"/>
            <w:sz w:val="20"/>
            <w:u w:val="single"/>
          </w:rPr>
          <w:t>Table of Contents</w:t>
        </w:r>
      </w:hyperlink>
    </w:p>
    <w:p>
      <w:pPr>
        <w:pStyle w:val="TextBody"/>
        <w:bidi w:val="0"/>
        <w:spacing w:lineRule="auto" w:line="288" w:before="100" w:after="283"/>
        <w:jc w:val="left"/>
        <w:rPr>
          <w:rFonts w:ascii="Times New Roman;serif" w:hAnsi="Times New Roman;serif"/>
          <w:b w:val="false"/>
          <w:i/>
          <w:color w:val="000000"/>
          <w:sz w:val="20"/>
        </w:rPr>
      </w:pPr>
      <w:r>
        <w:rPr>
          <w:rFonts w:ascii="Times New Roman;serif" w:hAnsi="Times New Roman;serif"/>
          <w:b w:val="false"/>
          <w:i/>
          <w:color w:val="000000"/>
          <w:sz w:val="20"/>
        </w:rPr>
        <w:t>Stock-Based Compensation</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 recognized stock-based compensation expense in the periods presented as follows (in thousands):</w:t>
      </w:r>
    </w:p>
    <w:tbl>
      <w:tblPr>
        <w:tblW w:w="10205" w:type="dxa"/>
        <w:jc w:val="left"/>
        <w:tblInd w:w="0" w:type="dxa"/>
        <w:tblLayout w:type="fixed"/>
        <w:tblCellMar>
          <w:top w:w="28" w:type="dxa"/>
          <w:left w:w="28" w:type="dxa"/>
          <w:bottom w:w="28" w:type="dxa"/>
          <w:right w:w="28" w:type="dxa"/>
        </w:tblCellMar>
      </w:tblPr>
      <w:tblGrid>
        <w:gridCol w:w="1923"/>
        <w:gridCol w:w="1448"/>
        <w:gridCol w:w="1315"/>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6"/>
      </w:tblGrid>
      <w:tr>
        <w:trPr/>
        <w:tc>
          <w:tcPr>
            <w:tcW w:w="1923" w:type="dxa"/>
            <w:tcBorders/>
            <w:vAlign w:val="center"/>
          </w:tcPr>
          <w:p>
            <w:pPr>
              <w:pStyle w:val="TableContents"/>
              <w:bidi w:val="0"/>
              <w:spacing w:before="0" w:after="283"/>
              <w:jc w:val="left"/>
              <w:rPr>
                <w:sz w:val="4"/>
                <w:szCs w:val="4"/>
              </w:rPr>
            </w:pPr>
            <w:r>
              <w:rPr>
                <w:sz w:val="4"/>
                <w:szCs w:val="4"/>
              </w:rPr>
            </w:r>
          </w:p>
        </w:tc>
        <w:tc>
          <w:tcPr>
            <w:tcW w:w="1448"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6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w:t>
              <w:br/>
              <w:t>September 30,</w:t>
            </w:r>
          </w:p>
        </w:tc>
      </w:tr>
      <w:tr>
        <w:trPr/>
        <w:tc>
          <w:tcPr>
            <w:tcW w:w="46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46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25,970 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consideration charges (gains), acquisition-related expenses, restructuring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38,905 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from: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Stock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17,292 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Restricted stock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21,003 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Employee stock purchase plan share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13,978 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13,230 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44,003 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38,905 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6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46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Equity Awards</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tables contain information about the Company’s stock option and restricted stock unit, or RSU, activity for the nine months ended September 30, 2025:</w:t>
      </w:r>
    </w:p>
    <w:tbl>
      <w:tblPr>
        <w:tblW w:w="9473" w:type="dxa"/>
        <w:jc w:val="left"/>
        <w:tblInd w:w="0" w:type="dxa"/>
        <w:tblLayout w:type="fixed"/>
        <w:tblCellMar>
          <w:top w:w="28" w:type="dxa"/>
          <w:left w:w="28" w:type="dxa"/>
          <w:bottom w:w="28" w:type="dxa"/>
          <w:right w:w="28" w:type="dxa"/>
        </w:tblCellMar>
      </w:tblPr>
      <w:tblGrid>
        <w:gridCol w:w="1098"/>
        <w:gridCol w:w="967"/>
        <w:gridCol w:w="979"/>
        <w:gridCol w:w="109"/>
        <w:gridCol w:w="109"/>
        <w:gridCol w:w="109"/>
        <w:gridCol w:w="714"/>
        <w:gridCol w:w="714"/>
        <w:gridCol w:w="717"/>
        <w:gridCol w:w="109"/>
        <w:gridCol w:w="109"/>
        <w:gridCol w:w="109"/>
        <w:gridCol w:w="780"/>
        <w:gridCol w:w="2280"/>
        <w:gridCol w:w="570"/>
      </w:tblGrid>
      <w:tr>
        <w:trPr/>
        <w:tc>
          <w:tcPr>
            <w:tcW w:w="1098"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2280"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r>
      <w:tr>
        <w:trPr/>
        <w:tc>
          <w:tcPr>
            <w:tcW w:w="3044" w:type="dxa"/>
            <w:gridSpan w:val="3"/>
            <w:tcBorders>
              <w:top w:val="single" w:sz="8" w:space="0" w:color="FFFFFF"/>
              <w:left w:val="single" w:sz="8" w:space="0" w:color="FFFFFF"/>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Stock Options</w:t>
            </w:r>
          </w:p>
        </w:tc>
        <w:tc>
          <w:tcPr>
            <w:tcW w:w="327" w:type="dxa"/>
            <w:gridSpan w:val="3"/>
            <w:tcBorders>
              <w:left w:val="single" w:sz="8" w:space="0" w:color="FFFFFF"/>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8"/>
              </w:rPr>
              <w:t>Number of Stock 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8"/>
              </w:rPr>
              <w:t>Weighted Average Exercise Price (Per Share)</w:t>
            </w:r>
          </w:p>
        </w:tc>
      </w:tr>
      <w:tr>
        <w:trPr/>
        <w:tc>
          <w:tcPr>
            <w:tcW w:w="30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Outstanding at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6,845,618 </w:t>
            </w:r>
          </w:p>
        </w:tc>
        <w:tc>
          <w:tcPr>
            <w:tcW w:w="7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42.95 </w:t>
            </w:r>
          </w:p>
        </w:tc>
        <w:tc>
          <w:tcPr>
            <w:tcW w:w="5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485,232 </w:t>
            </w:r>
          </w:p>
        </w:tc>
        <w:tc>
          <w:tcPr>
            <w:tcW w:w="7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25.30 </w:t>
            </w:r>
          </w:p>
        </w:tc>
        <w:tc>
          <w:tcPr>
            <w:tcW w:w="5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Exercised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(726)</w:t>
            </w:r>
          </w:p>
        </w:tc>
        <w:tc>
          <w:tcPr>
            <w:tcW w:w="7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15.14 </w:t>
            </w:r>
          </w:p>
        </w:tc>
        <w:tc>
          <w:tcPr>
            <w:tcW w:w="5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Forfeited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(202,193)</w:t>
            </w:r>
          </w:p>
        </w:tc>
        <w:tc>
          <w:tcPr>
            <w:tcW w:w="7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42.18 </w:t>
            </w:r>
          </w:p>
        </w:tc>
        <w:tc>
          <w:tcPr>
            <w:tcW w:w="5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Expired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(676,528)</w:t>
            </w:r>
          </w:p>
        </w:tc>
        <w:tc>
          <w:tcPr>
            <w:tcW w:w="7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52.13 </w:t>
            </w:r>
          </w:p>
        </w:tc>
        <w:tc>
          <w:tcPr>
            <w:tcW w:w="5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Outstanding at September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6,451,403 </w:t>
            </w:r>
          </w:p>
        </w:tc>
        <w:tc>
          <w:tcPr>
            <w:tcW w:w="7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40.68 </w:t>
            </w:r>
          </w:p>
        </w:tc>
        <w:tc>
          <w:tcPr>
            <w:tcW w:w="5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979"/>
        <w:gridCol w:w="848"/>
        <w:gridCol w:w="852"/>
        <w:gridCol w:w="109"/>
        <w:gridCol w:w="109"/>
        <w:gridCol w:w="109"/>
        <w:gridCol w:w="913"/>
        <w:gridCol w:w="896"/>
        <w:gridCol w:w="899"/>
        <w:gridCol w:w="109"/>
        <w:gridCol w:w="109"/>
        <w:gridCol w:w="109"/>
        <w:gridCol w:w="895"/>
        <w:gridCol w:w="2612"/>
        <w:gridCol w:w="657"/>
      </w:tblGrid>
      <w:tr>
        <w:trPr/>
        <w:tc>
          <w:tcPr>
            <w:tcW w:w="979"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2612"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r>
      <w:tr>
        <w:trPr/>
        <w:tc>
          <w:tcPr>
            <w:tcW w:w="2679" w:type="dxa"/>
            <w:gridSpan w:val="3"/>
            <w:tcBorders>
              <w:top w:val="single" w:sz="8" w:space="0" w:color="FFFFFF"/>
              <w:left w:val="single" w:sz="8" w:space="0" w:color="FFFFFF"/>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Restricted Stock Units</w:t>
            </w:r>
          </w:p>
        </w:tc>
        <w:tc>
          <w:tcPr>
            <w:tcW w:w="327" w:type="dxa"/>
            <w:gridSpan w:val="3"/>
            <w:tcBorders>
              <w:left w:val="single" w:sz="8" w:space="0" w:color="FFFFFF"/>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70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8"/>
              </w:rPr>
              <w:t>Number of Restricted Stock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8"/>
              </w:rPr>
              <w:t>Weighted Average Grant Date Fair Value (Per Share)</w:t>
            </w:r>
          </w:p>
        </w:tc>
      </w:tr>
      <w:tr>
        <w:trPr/>
        <w:tc>
          <w:tcPr>
            <w:tcW w:w="26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Unvested at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2,769,728 </w:t>
            </w:r>
          </w:p>
        </w:tc>
        <w:tc>
          <w:tcPr>
            <w:tcW w:w="8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6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32.07 </w:t>
            </w:r>
          </w:p>
        </w:tc>
        <w:tc>
          <w:tcPr>
            <w:tcW w:w="6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2,449,865 </w:t>
            </w:r>
          </w:p>
        </w:tc>
        <w:tc>
          <w:tcPr>
            <w:tcW w:w="8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26.00 </w:t>
            </w:r>
          </w:p>
        </w:tc>
        <w:tc>
          <w:tcPr>
            <w:tcW w:w="6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Vested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(766,373)</w:t>
            </w:r>
          </w:p>
        </w:tc>
        <w:tc>
          <w:tcPr>
            <w:tcW w:w="8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36.67 </w:t>
            </w:r>
          </w:p>
        </w:tc>
        <w:tc>
          <w:tcPr>
            <w:tcW w:w="6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Forfeited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(239,411)</w:t>
            </w:r>
          </w:p>
        </w:tc>
        <w:tc>
          <w:tcPr>
            <w:tcW w:w="8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28.45 </w:t>
            </w:r>
          </w:p>
        </w:tc>
        <w:tc>
          <w:tcPr>
            <w:tcW w:w="6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Unvested at September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4,213,809 </w:t>
            </w:r>
          </w:p>
        </w:tc>
        <w:tc>
          <w:tcPr>
            <w:tcW w:w="8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27.82 </w:t>
            </w:r>
          </w:p>
        </w:tc>
        <w:tc>
          <w:tcPr>
            <w:tcW w:w="6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75260"/>
                <wp:effectExtent l="0" t="0" r="0" b="0"/>
                <wp:wrapNone/>
                <wp:docPr id="29" name="Frame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Q3 </w:t>
                            </w:r>
                            <w:r>
                              <w:rPr>
                                <w:rFonts w:ascii="Times New Roman;serif" w:hAnsi="Times New Roman;serif"/>
                                <w:b w:val="false"/>
                                <w:color w:val="000000"/>
                                <w:sz w:val="20"/>
                              </w:rPr>
                              <w:t>2025</w:t>
                            </w:r>
                            <w:r>
                              <w:rPr>
                                <w:color w:val="000000"/>
                              </w:rPr>
                              <w:t xml:space="preserve"> </w:t>
                            </w:r>
                            <w:r>
                              <w:rPr>
                                <w:rFonts w:ascii="Times New Roman;serif" w:hAnsi="Times New Roman;serif"/>
                                <w:b w:val="false"/>
                                <w:color w:val="000000"/>
                                <w:sz w:val="19"/>
                              </w:rPr>
                              <w:t>Form 10-Q | 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Q3 </w:t>
                      </w:r>
                      <w:r>
                        <w:rPr>
                          <w:rFonts w:ascii="Times New Roman;serif" w:hAnsi="Times New Roman;serif"/>
                          <w:b w:val="false"/>
                          <w:color w:val="000000"/>
                          <w:sz w:val="20"/>
                        </w:rPr>
                        <w:t>2025</w:t>
                      </w:r>
                      <w:r>
                        <w:rPr>
                          <w:color w:val="000000"/>
                        </w:rPr>
                        <w:t xml:space="preserve"> </w:t>
                      </w:r>
                      <w:r>
                        <w:rPr>
                          <w:rFonts w:ascii="Times New Roman;serif" w:hAnsi="Times New Roman;serif"/>
                          <w:b w:val="false"/>
                          <w:color w:val="000000"/>
                          <w:sz w:val="19"/>
                        </w:rPr>
                        <w:t>Form 10-Q | 27</w:t>
                      </w:r>
                    </w:p>
                  </w:txbxContent>
                </v:textbox>
                <w10:wrap type="none"/>
              </v:rect>
            </w:pict>
          </mc:Fallback>
        </mc:AlternateContent>
      </w:r>
    </w:p>
    <w:p>
      <w:pPr>
        <w:pStyle w:val="TextBody"/>
        <w:bidi w:val="0"/>
        <w:spacing w:lineRule="auto" w:line="288" w:before="0" w:after="0"/>
        <w:jc w:val="left"/>
        <w:rPr/>
      </w:pPr>
      <w:hyperlink w:anchor="i004be9cfd92c48c78448e0b03d16957e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weighted average fair value of stock options granted during the nine months ended September 30, 2025 was $13.73 per share. The fair values of stock options granted were estimated using the Black-Scholes option valuation model with the following weighted average assumptions:</w:t>
      </w:r>
    </w:p>
    <w:tbl>
      <w:tblPr>
        <w:tblW w:w="7211" w:type="dxa"/>
        <w:jc w:val="center"/>
        <w:tblInd w:w="0" w:type="dxa"/>
        <w:tblLayout w:type="fixed"/>
        <w:tblCellMar>
          <w:top w:w="28" w:type="dxa"/>
          <w:left w:w="28" w:type="dxa"/>
          <w:bottom w:w="28" w:type="dxa"/>
          <w:right w:w="28" w:type="dxa"/>
        </w:tblCellMar>
      </w:tblPr>
      <w:tblGrid>
        <w:gridCol w:w="1316"/>
        <w:gridCol w:w="1154"/>
        <w:gridCol w:w="1160"/>
        <w:gridCol w:w="109"/>
        <w:gridCol w:w="109"/>
        <w:gridCol w:w="109"/>
        <w:gridCol w:w="950"/>
        <w:gridCol w:w="950"/>
        <w:gridCol w:w="1354"/>
      </w:tblGrid>
      <w:tr>
        <w:trPr/>
        <w:tc>
          <w:tcPr>
            <w:tcW w:w="1316"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13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top w:val="single" w:sz="8" w:space="0" w:color="FFFFFF"/>
              <w:left w:val="single" w:sz="8" w:space="0" w:color="FFFFFF"/>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Black-Scholes Weighted Average Assumption</w:t>
            </w:r>
          </w:p>
        </w:tc>
        <w:tc>
          <w:tcPr>
            <w:tcW w:w="327" w:type="dxa"/>
            <w:gridSpan w:val="3"/>
            <w:tcBorders>
              <w:left w:val="single" w:sz="8" w:space="0" w:color="FFFFFF"/>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 2025</w:t>
            </w:r>
          </w:p>
        </w:tc>
      </w:tr>
      <w:tr>
        <w:trPr/>
        <w:tc>
          <w:tcPr>
            <w:tcW w:w="36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dividend yield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None</w:t>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4.14%</w:t>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volatility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57.9%</w:t>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term of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5.14 years</w:t>
            </w:r>
          </w:p>
        </w:tc>
      </w:tr>
    </w:tbl>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Employee Stock Purchase Plan</w:t>
      </w:r>
    </w:p>
    <w:p>
      <w:pPr>
        <w:pStyle w:val="TextBody"/>
        <w:bidi w:val="0"/>
        <w:spacing w:lineRule="auto" w:line="288" w:before="180" w:after="283"/>
        <w:ind w:left="0" w:right="0" w:firstLine="450"/>
        <w:jc w:val="left"/>
        <w:rPr/>
      </w:pPr>
      <w:r>
        <w:rPr>
          <w:rFonts w:ascii="Times New Roman;serif" w:hAnsi="Times New Roman;serif"/>
          <w:b w:val="false"/>
          <w:color w:val="000000"/>
          <w:sz w:val="20"/>
        </w:rPr>
        <w:t>The Company’s Amended and Restated 2014 Employee Stock Purchase Plan, or ESPP, features two six-month offering periods per year, running from January 1</w:t>
      </w:r>
      <w:r>
        <w:rPr>
          <w:color w:val="000000"/>
        </w:rPr>
        <w:t xml:space="preserve"> </w:t>
      </w:r>
      <w:r>
        <w:rPr>
          <w:rFonts w:ascii="Times New Roman;serif" w:hAnsi="Times New Roman;serif"/>
          <w:b w:val="false"/>
          <w:color w:val="000000"/>
          <w:sz w:val="20"/>
        </w:rPr>
        <w:t>to June 30 and July 1 to December 31. Under the ESPP, employees may elect to contribute after-tax earnings to purchase shares at 85% of the closing fair market value of the Company’s common stock on either the offering date or the purchase date, whichever is lesser. During the nine months ended September 30, 2025, 100,728 shares were purchased and issued through the ESPP.</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NOTE 13—NET INCOME (LOSS) PER COMMON SHARE</w:t>
      </w:r>
    </w:p>
    <w:p>
      <w:pPr>
        <w:pStyle w:val="TextBody"/>
        <w:bidi w:val="0"/>
        <w:spacing w:lineRule="auto" w:line="288" w:before="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Basic and diluted net income (loss) per common share is calculated by dividing the net income (loss) attributable to common shares by the weighted average number of common shares outstanding during the period. Diluted net income (loss) per common share is calculated by dividing the net income (loss) attributable to common shares by the weighted average number of common shares outstanding plus dilutive potential common shares outstanding during the period.</w:t>
      </w:r>
    </w:p>
    <w:p>
      <w:pPr>
        <w:pStyle w:val="TextBody"/>
        <w:bidi w:val="0"/>
        <w:spacing w:lineRule="auto" w:line="288" w:before="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Potential common shares include the shares of common stock issuable upon the exercise of outstanding stock options, the vesting of RSUs and the purchase of shares from the ESPP (using the treasury stock method), if applicable. Potential common shares associated with convertible senior notes are treated under the if-converted method. Adjustments are made to the diluted net income (loss) per common share calculation as if the Company had converted the convertible senior notes on the first day of each period presented. Adjustments to the numerator are made to add back the interest expense associated with the convertible senior notes on a post-tax basis. Adjustments to the denominator reflect the number of shares assumed to be convertible at the beginning of the period.</w:t>
      </w:r>
    </w:p>
    <w:p>
      <w:pPr>
        <w:pStyle w:val="TextBody"/>
        <w:bidi w:val="0"/>
        <w:spacing w:lineRule="auto" w:line="288" w:before="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Potential common shares are excluded from the diluted net income (loss) per common share computation to the extent they would be antidilutive. </w:t>
      </w:r>
    </w:p>
    <w:p>
      <w:pPr>
        <w:pStyle w:val="TextBody"/>
        <w:bidi w:val="0"/>
        <w:spacing w:lineRule="auto" w:line="288" w:before="0" w:after="180"/>
        <w:ind w:left="0" w:right="0" w:firstLine="450"/>
        <w:jc w:val="left"/>
        <w:rPr/>
      </w:pPr>
      <w:r>
        <w:rPr>
          <w:rFonts w:ascii="Times New Roman;serif" w:hAnsi="Times New Roman;serif"/>
          <w:b w:val="false"/>
          <w:color w:val="000000"/>
          <w:sz w:val="20"/>
          <w:shd w:fill="FFFFFF" w:val="clear"/>
        </w:rPr>
        <w:t xml:space="preserve">The following table sets forth the computation of basic and diluted </w:t>
      </w:r>
      <w:r>
        <w:rPr>
          <w:rFonts w:ascii="Times New Roman;serif" w:hAnsi="Times New Roman;serif"/>
          <w:b w:val="false"/>
          <w:color w:val="000000"/>
          <w:sz w:val="20"/>
        </w:rPr>
        <w:t>net income (loss)</w:t>
      </w:r>
      <w:r>
        <w:rPr>
          <w:color w:val="000000"/>
          <w:shd w:fill="FFFFFF" w:val="clear"/>
        </w:rPr>
        <w:t xml:space="preserve"> </w:t>
      </w:r>
      <w:r>
        <w:rPr>
          <w:rFonts w:ascii="Times New Roman;serif" w:hAnsi="Times New Roman;serif"/>
          <w:b w:val="false"/>
          <w:color w:val="000000"/>
          <w:sz w:val="20"/>
          <w:shd w:fill="FFFFFF" w:val="clear"/>
        </w:rPr>
        <w:t>per common share for the three and nine mon</w:t>
      </w:r>
      <w:r>
        <w:rPr>
          <w:rFonts w:ascii="Times New Roman;serif" w:hAnsi="Times New Roman;serif"/>
          <w:b w:val="false"/>
          <w:color w:val="000000"/>
          <w:sz w:val="20"/>
        </w:rPr>
        <w:t>ths ended September 30, 2025 and 2024 (in thousands, except per common share amounts):</w:t>
      </w:r>
    </w:p>
    <w:tbl>
      <w:tblPr>
        <w:tblW w:w="10200" w:type="dxa"/>
        <w:jc w:val="left"/>
        <w:tblInd w:w="0" w:type="dxa"/>
        <w:tblLayout w:type="fixed"/>
        <w:tblCellMar>
          <w:top w:w="28" w:type="dxa"/>
          <w:left w:w="28" w:type="dxa"/>
          <w:bottom w:w="28" w:type="dxa"/>
          <w:right w:w="28" w:type="dxa"/>
        </w:tblCellMar>
      </w:tblPr>
      <w:tblGrid>
        <w:gridCol w:w="1759"/>
        <w:gridCol w:w="1546"/>
        <w:gridCol w:w="1555"/>
        <w:gridCol w:w="211"/>
        <w:gridCol w:w="616"/>
        <w:gridCol w:w="109"/>
        <w:gridCol w:w="109"/>
        <w:gridCol w:w="109"/>
        <w:gridCol w:w="109"/>
        <w:gridCol w:w="211"/>
        <w:gridCol w:w="901"/>
        <w:gridCol w:w="109"/>
        <w:gridCol w:w="109"/>
        <w:gridCol w:w="109"/>
        <w:gridCol w:w="109"/>
        <w:gridCol w:w="211"/>
        <w:gridCol w:w="616"/>
        <w:gridCol w:w="109"/>
        <w:gridCol w:w="109"/>
        <w:gridCol w:w="109"/>
        <w:gridCol w:w="109"/>
        <w:gridCol w:w="211"/>
        <w:gridCol w:w="901"/>
        <w:gridCol w:w="154"/>
      </w:tblGrid>
      <w:tr>
        <w:trPr/>
        <w:tc>
          <w:tcPr>
            <w:tcW w:w="1759"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15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60" w:type="dxa"/>
            <w:gridSpan w:val="3"/>
            <w:vMerge w:val="restart"/>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w:t>
              <w:br/>
              <w:t>September 30,</w:t>
            </w:r>
          </w:p>
        </w:tc>
      </w:tr>
      <w:tr>
        <w:trPr/>
        <w:tc>
          <w:tcPr>
            <w:tcW w:w="4860"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4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Numerator:</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Net income (loss)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(143,466)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(115,601)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486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486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486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486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486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486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486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4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Denominator:</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Weighted average common shares outstanding—basic</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Computation of diluted securities: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4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Dilutive effect of stock options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Dilutive effect of RSUs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Dilutive effect of ESPP share options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Weighted average common shares outstanding—diluted</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46,269 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(loss) per common share:</w:t>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Basic and diluted net income (loss) per common share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75260"/>
                <wp:effectExtent l="0" t="0" r="0" b="0"/>
                <wp:wrapNone/>
                <wp:docPr id="30" name="Frame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Q3 </w:t>
                            </w:r>
                            <w:r>
                              <w:rPr>
                                <w:rFonts w:ascii="Times New Roman;serif" w:hAnsi="Times New Roman;serif"/>
                                <w:b w:val="false"/>
                                <w:color w:val="000000"/>
                                <w:sz w:val="20"/>
                              </w:rPr>
                              <w:t>2025</w:t>
                            </w:r>
                            <w:r>
                              <w:rPr>
                                <w:color w:val="000000"/>
                              </w:rPr>
                              <w:t xml:space="preserve"> </w:t>
                            </w:r>
                            <w:r>
                              <w:rPr>
                                <w:rFonts w:ascii="Times New Roman;serif" w:hAnsi="Times New Roman;serif"/>
                                <w:b w:val="false"/>
                                <w:color w:val="000000"/>
                                <w:sz w:val="19"/>
                              </w:rPr>
                              <w:t>Form 10-Q | 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Q3 </w:t>
                      </w:r>
                      <w:r>
                        <w:rPr>
                          <w:rFonts w:ascii="Times New Roman;serif" w:hAnsi="Times New Roman;serif"/>
                          <w:b w:val="false"/>
                          <w:color w:val="000000"/>
                          <w:sz w:val="20"/>
                        </w:rPr>
                        <w:t>2025</w:t>
                      </w:r>
                      <w:r>
                        <w:rPr>
                          <w:color w:val="000000"/>
                        </w:rPr>
                        <w:t xml:space="preserve"> </w:t>
                      </w:r>
                      <w:r>
                        <w:rPr>
                          <w:rFonts w:ascii="Times New Roman;serif" w:hAnsi="Times New Roman;serif"/>
                          <w:b w:val="false"/>
                          <w:color w:val="000000"/>
                          <w:sz w:val="19"/>
                        </w:rPr>
                        <w:t>Form 10-Q | 28</w:t>
                      </w:r>
                    </w:p>
                  </w:txbxContent>
                </v:textbox>
                <w10:wrap type="none"/>
              </v:rect>
            </w:pict>
          </mc:Fallback>
        </mc:AlternateContent>
      </w:r>
    </w:p>
    <w:p>
      <w:pPr>
        <w:pStyle w:val="TextBody"/>
        <w:bidi w:val="0"/>
        <w:spacing w:lineRule="auto" w:line="288" w:before="0" w:after="0"/>
        <w:jc w:val="left"/>
        <w:rPr/>
      </w:pPr>
      <w:hyperlink w:anchor="i004be9cfd92c48c78448e0b03d16957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outstanding stock options, RSUs, ESPP share options and convertible senior notes that were excluded from the diluted net income (loss) per common share calculation because the effects of including these potential shares were antidilutive in the periods presented (in thousands):</w:t>
      </w:r>
    </w:p>
    <w:tbl>
      <w:tblPr>
        <w:tblW w:w="8660" w:type="dxa"/>
        <w:jc w:val="left"/>
        <w:tblInd w:w="0" w:type="dxa"/>
        <w:tblLayout w:type="fixed"/>
        <w:tblCellMar>
          <w:top w:w="28" w:type="dxa"/>
          <w:left w:w="28" w:type="dxa"/>
          <w:bottom w:w="28" w:type="dxa"/>
          <w:right w:w="28" w:type="dxa"/>
        </w:tblCellMar>
      </w:tblPr>
      <w:tblGrid>
        <w:gridCol w:w="1305"/>
        <w:gridCol w:w="1143"/>
        <w:gridCol w:w="1151"/>
        <w:gridCol w:w="336"/>
        <w:gridCol w:w="280"/>
        <w:gridCol w:w="195"/>
        <w:gridCol w:w="195"/>
        <w:gridCol w:w="195"/>
        <w:gridCol w:w="195"/>
        <w:gridCol w:w="393"/>
        <w:gridCol w:w="328"/>
        <w:gridCol w:w="195"/>
        <w:gridCol w:w="109"/>
        <w:gridCol w:w="109"/>
        <w:gridCol w:w="109"/>
        <w:gridCol w:w="365"/>
        <w:gridCol w:w="356"/>
        <w:gridCol w:w="181"/>
        <w:gridCol w:w="181"/>
        <w:gridCol w:w="181"/>
        <w:gridCol w:w="181"/>
        <w:gridCol w:w="365"/>
        <w:gridCol w:w="356"/>
        <w:gridCol w:w="256"/>
      </w:tblGrid>
      <w:tr>
        <w:trPr/>
        <w:tc>
          <w:tcPr>
            <w:tcW w:w="1305"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w:t>
              <w:br/>
              <w:t>September 30,</w:t>
            </w:r>
          </w:p>
        </w:tc>
      </w:tr>
      <w:tr>
        <w:trPr/>
        <w:tc>
          <w:tcPr>
            <w:tcW w:w="3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5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5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number of stock options</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6,488 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6,925 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6,573 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7,305 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2025 Notes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972 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2,821 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2,205 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number of RSUs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1,531 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2,637 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1,831 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ESPP share options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w:t>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8,991 </w:t>
            </w:r>
          </w:p>
        </w:tc>
        <w:tc>
          <w:tcPr>
            <w:tcW w:w="1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12,430 </w:t>
            </w:r>
          </w:p>
        </w:tc>
        <w:tc>
          <w:tcPr>
            <w:tcW w:w="1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10,609 </w:t>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13,475 </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NOTE 14—INCOME TAXES</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Income (loss) before income taxes and income tax expense are as follows (dollar amounts in thousands):</w:t>
      </w:r>
    </w:p>
    <w:tbl>
      <w:tblPr>
        <w:tblW w:w="9437" w:type="dxa"/>
        <w:jc w:val="left"/>
        <w:tblInd w:w="0" w:type="dxa"/>
        <w:tblLayout w:type="fixed"/>
        <w:tblCellMar>
          <w:top w:w="28" w:type="dxa"/>
          <w:left w:w="28" w:type="dxa"/>
          <w:bottom w:w="28" w:type="dxa"/>
          <w:right w:w="28" w:type="dxa"/>
        </w:tblCellMar>
      </w:tblPr>
      <w:tblGrid>
        <w:gridCol w:w="1211"/>
        <w:gridCol w:w="1062"/>
        <w:gridCol w:w="1071"/>
        <w:gridCol w:w="211"/>
        <w:gridCol w:w="721"/>
        <w:gridCol w:w="271"/>
        <w:gridCol w:w="109"/>
        <w:gridCol w:w="109"/>
        <w:gridCol w:w="109"/>
        <w:gridCol w:w="211"/>
        <w:gridCol w:w="901"/>
        <w:gridCol w:w="271"/>
        <w:gridCol w:w="109"/>
        <w:gridCol w:w="109"/>
        <w:gridCol w:w="109"/>
        <w:gridCol w:w="211"/>
        <w:gridCol w:w="721"/>
        <w:gridCol w:w="271"/>
        <w:gridCol w:w="109"/>
        <w:gridCol w:w="109"/>
        <w:gridCol w:w="109"/>
        <w:gridCol w:w="211"/>
        <w:gridCol w:w="796"/>
        <w:gridCol w:w="316"/>
      </w:tblGrid>
      <w:tr>
        <w:trPr/>
        <w:tc>
          <w:tcPr>
            <w:tcW w:w="1211"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w:t>
              <w:br/>
              <w:t>September 30,</w:t>
            </w:r>
          </w:p>
        </w:tc>
      </w:tr>
      <w:tr>
        <w:trPr/>
        <w:tc>
          <w:tcPr>
            <w:tcW w:w="3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before income taxes:</w:t>
            </w:r>
          </w:p>
        </w:tc>
        <w:tc>
          <w:tcPr>
            <w:tcW w:w="12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Domestic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10,497 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(140,309)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16,956 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(89,656)</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Foreign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(973)</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1,024 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income (loss) before income taxes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9,524 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(138,856)</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16,303 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(88,632)</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10,906 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26,969 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Effective tax rate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44"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r>
      <w:tr>
        <w:trPr/>
        <w:tc>
          <w:tcPr>
            <w:tcW w:w="3344"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r>
      <w:tr>
        <w:trPr/>
        <w:tc>
          <w:tcPr>
            <w:tcW w:w="3344"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r>
      <w:tr>
        <w:trPr/>
        <w:tc>
          <w:tcPr>
            <w:tcW w:w="3344"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r>
      <w:tr>
        <w:trPr/>
        <w:tc>
          <w:tcPr>
            <w:tcW w:w="3344"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r>
      <w:tr>
        <w:trPr/>
        <w:tc>
          <w:tcPr>
            <w:tcW w:w="3344"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r>
      <w:tr>
        <w:trPr/>
        <w:tc>
          <w:tcPr>
            <w:tcW w:w="3344"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r>
      <w:tr>
        <w:trPr/>
        <w:tc>
          <w:tcPr>
            <w:tcW w:w="3344"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r>
      <w:tr>
        <w:trPr/>
        <w:tc>
          <w:tcPr>
            <w:tcW w:w="3344"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r>
      <w:tr>
        <w:trPr/>
        <w:tc>
          <w:tcPr>
            <w:tcW w:w="3344"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r>
      <w:tr>
        <w:trPr/>
        <w:tc>
          <w:tcPr>
            <w:tcW w:w="3344"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r>
      <w:tr>
        <w:trPr/>
        <w:tc>
          <w:tcPr>
            <w:tcW w:w="3344"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r>
      <w:tr>
        <w:trPr/>
        <w:tc>
          <w:tcPr>
            <w:tcW w:w="3344"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50"/>
        <w:jc w:val="left"/>
        <w:rPr/>
      </w:pPr>
      <w:r>
        <w:rPr>
          <w:rFonts w:ascii="Times New Roman;serif" w:hAnsi="Times New Roman;serif"/>
          <w:b w:val="false"/>
          <w:color w:val="000000"/>
          <w:sz w:val="20"/>
        </w:rPr>
        <w:t>The Company’s income tax expense represents the estimated annual effective tax rate applied to the year-to-date operating re</w:t>
      </w:r>
      <w:r>
        <w:rPr>
          <w:rFonts w:ascii="Times New Roman;serif" w:hAnsi="Times New Roman;serif"/>
          <w:b w:val="false"/>
          <w:color w:val="212529"/>
          <w:sz w:val="20"/>
        </w:rPr>
        <w:t>sults, adjusted for certain discrete tax items.</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Company’s effective tax rate for the three and nine months ended September 30, 2025 was primarily impacted by costs related to non-deductible stock-based compensation, non-deductible executive compensation and a non-U.S. valuation allowance, partially offset by tax credits.</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Company’s effective tax rate for the three and nine months ended September 30, 2024 was primarily impacted by non-deductible goodwill impairment charges. The Company’s effective tax rate for the nine months ended September 30, 2024 was additionally impacted by costs related to non-deductible stock-based compensation, mainly related to expired stock options.</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As of both September 30, 2025 and December 31, 2024, the Company had an income tax payable balance of $5.1 million that was included in other liabilities within the condensed consolidated balance sheet. As of September 30, 2025 and December 31, 2024, the Company had $0.6 million and $0.7 million, respectively, of current income taxes payable that is included in accrued expenses within the condensed consolidated balance sheet. </w:t>
      </w:r>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U.S. Tax Reform</w:t>
      </w:r>
    </w:p>
    <w:p>
      <w:pPr>
        <w:pStyle w:val="TextBody"/>
        <w:bidi w:val="0"/>
        <w:spacing w:lineRule="auto" w:line="288" w:before="120" w:after="283"/>
        <w:ind w:left="0" w:right="0" w:firstLine="450"/>
        <w:jc w:val="left"/>
        <w:rPr/>
      </w:pPr>
      <w:r>
        <w:rPr>
          <w:rFonts w:ascii="Times New Roman;serif" w:hAnsi="Times New Roman;serif"/>
          <w:b w:val="false"/>
          <w:color w:val="000000"/>
          <w:sz w:val="20"/>
        </w:rPr>
        <w:t xml:space="preserve">In July 2025, federal legislation known as the One Big Beautiful Bill Act (the “OBBBA”) was enacted, resulting in changes to U.S. federal income tax law. Significant provisions of the OBBBA include the permanent extension of certain provisions of the 2017 Tax Cuts and Jobs Act, modifications to the international tax framework and the restoration of favorable tax treatment for certain business provisions. In accordance with ASC 740, </w:t>
      </w:r>
      <w:r>
        <w:rPr>
          <w:rFonts w:ascii="Times New Roman;serif" w:hAnsi="Times New Roman;serif"/>
          <w:b w:val="false"/>
          <w:i/>
          <w:color w:val="000000"/>
          <w:sz w:val="20"/>
        </w:rPr>
        <w:t>Income Taxes</w:t>
      </w:r>
      <w:r>
        <w:rPr>
          <w:rFonts w:ascii="Times New Roman;serif" w:hAnsi="Times New Roman;serif"/>
          <w:b w:val="false"/>
          <w:color w:val="000000"/>
          <w:sz w:val="20"/>
        </w:rPr>
        <w:t>, the Company is required to recognize the effect of the tax law changes in the period of enactment, such as remeasuring its estimated U.S. deferred tax assets and liabilities. The Company has $124.6 million of a gross deferred tax asset attributed to unamortized U.S. capitalized research and development costs as of December 31, 2024 that will be deductible on its 2025 and 2026 income tax returns. There are no other material impacts to the Company related to the enactment of the OBBBA.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75260"/>
                <wp:effectExtent l="0" t="0" r="0" b="0"/>
                <wp:wrapNone/>
                <wp:docPr id="31" name="Frame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Q3 </w:t>
                            </w:r>
                            <w:r>
                              <w:rPr>
                                <w:rFonts w:ascii="Times New Roman;serif" w:hAnsi="Times New Roman;serif"/>
                                <w:b w:val="false"/>
                                <w:color w:val="000000"/>
                                <w:sz w:val="20"/>
                              </w:rPr>
                              <w:t>2025</w:t>
                            </w:r>
                            <w:r>
                              <w:rPr>
                                <w:color w:val="000000"/>
                              </w:rPr>
                              <w:t xml:space="preserve"> </w:t>
                            </w:r>
                            <w:r>
                              <w:rPr>
                                <w:rFonts w:ascii="Times New Roman;serif" w:hAnsi="Times New Roman;serif"/>
                                <w:b w:val="false"/>
                                <w:color w:val="000000"/>
                                <w:sz w:val="19"/>
                              </w:rPr>
                              <w:t>Form 10-Q | 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Q3 </w:t>
                      </w:r>
                      <w:r>
                        <w:rPr>
                          <w:rFonts w:ascii="Times New Roman;serif" w:hAnsi="Times New Roman;serif"/>
                          <w:b w:val="false"/>
                          <w:color w:val="000000"/>
                          <w:sz w:val="20"/>
                        </w:rPr>
                        <w:t>2025</w:t>
                      </w:r>
                      <w:r>
                        <w:rPr>
                          <w:color w:val="000000"/>
                        </w:rPr>
                        <w:t xml:space="preserve"> </w:t>
                      </w:r>
                      <w:r>
                        <w:rPr>
                          <w:rFonts w:ascii="Times New Roman;serif" w:hAnsi="Times New Roman;serif"/>
                          <w:b w:val="false"/>
                          <w:color w:val="000000"/>
                          <w:sz w:val="19"/>
                        </w:rPr>
                        <w:t>Form 10-Q | 29</w:t>
                      </w:r>
                    </w:p>
                  </w:txbxContent>
                </v:textbox>
                <w10:wrap type="none"/>
              </v:rect>
            </w:pict>
          </mc:Fallback>
        </mc:AlternateContent>
      </w:r>
    </w:p>
    <w:p>
      <w:pPr>
        <w:pStyle w:val="TextBody"/>
        <w:bidi w:val="0"/>
        <w:spacing w:lineRule="auto" w:line="288" w:before="0" w:after="0"/>
        <w:jc w:val="left"/>
        <w:rPr/>
      </w:pPr>
      <w:hyperlink w:anchor="i004be9cfd92c48c78448e0b03d16957e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NOTE 15—CONTINGENT CONSIDERATION CHARGES (GAINS), ACQUISITION-RELATED EXPENSES, RESTRUCTURING AND OTHER</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Contingent consideration charges (gains), acquisition-related expenses, restructuring and other for the nine months ended September 30, 2025 and 2024 summarized below (in thousands):</w:t>
      </w:r>
    </w:p>
    <w:tbl>
      <w:tblPr>
        <w:tblW w:w="10205" w:type="dxa"/>
        <w:jc w:val="left"/>
        <w:tblInd w:w="0" w:type="dxa"/>
        <w:tblLayout w:type="fixed"/>
        <w:tblCellMar>
          <w:top w:w="28" w:type="dxa"/>
          <w:left w:w="28" w:type="dxa"/>
          <w:bottom w:w="28" w:type="dxa"/>
          <w:right w:w="28" w:type="dxa"/>
        </w:tblCellMar>
      </w:tblPr>
      <w:tblGrid>
        <w:gridCol w:w="2046"/>
        <w:gridCol w:w="1592"/>
        <w:gridCol w:w="1596"/>
        <w:gridCol w:w="211"/>
        <w:gridCol w:w="616"/>
        <w:gridCol w:w="109"/>
        <w:gridCol w:w="109"/>
        <w:gridCol w:w="109"/>
        <w:gridCol w:w="109"/>
        <w:gridCol w:w="211"/>
        <w:gridCol w:w="663"/>
        <w:gridCol w:w="109"/>
        <w:gridCol w:w="109"/>
        <w:gridCol w:w="109"/>
        <w:gridCol w:w="109"/>
        <w:gridCol w:w="211"/>
        <w:gridCol w:w="721"/>
        <w:gridCol w:w="109"/>
        <w:gridCol w:w="109"/>
        <w:gridCol w:w="109"/>
        <w:gridCol w:w="109"/>
        <w:gridCol w:w="211"/>
        <w:gridCol w:w="663"/>
        <w:gridCol w:w="156"/>
      </w:tblGrid>
      <w:tr>
        <w:trPr/>
        <w:tc>
          <w:tcPr>
            <w:tcW w:w="2046" w:type="dxa"/>
            <w:tcBorders/>
            <w:vAlign w:val="center"/>
          </w:tcPr>
          <w:p>
            <w:pPr>
              <w:pStyle w:val="TableContents"/>
              <w:bidi w:val="0"/>
              <w:spacing w:before="0" w:after="283"/>
              <w:jc w:val="left"/>
              <w:rPr>
                <w:sz w:val="4"/>
                <w:szCs w:val="4"/>
              </w:rPr>
            </w:pPr>
            <w:r>
              <w:rPr>
                <w:sz w:val="4"/>
                <w:szCs w:val="4"/>
              </w:rPr>
            </w:r>
          </w:p>
        </w:tc>
        <w:tc>
          <w:tcPr>
            <w:tcW w:w="1592" w:type="dxa"/>
            <w:tcBorders/>
            <w:vAlign w:val="center"/>
          </w:tcPr>
          <w:p>
            <w:pPr>
              <w:pStyle w:val="TableContents"/>
              <w:bidi w:val="0"/>
              <w:spacing w:before="0" w:after="283"/>
              <w:jc w:val="left"/>
              <w:rPr>
                <w:sz w:val="4"/>
                <w:szCs w:val="4"/>
              </w:rPr>
            </w:pPr>
            <w:r>
              <w:rPr>
                <w:sz w:val="4"/>
                <w:szCs w:val="4"/>
              </w:rPr>
            </w:r>
          </w:p>
        </w:tc>
        <w:tc>
          <w:tcPr>
            <w:tcW w:w="15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w:t>
              <w:br/>
              <w:t>September 30,</w:t>
            </w:r>
          </w:p>
        </w:tc>
      </w:tr>
      <w:tr>
        <w:trPr/>
        <w:tc>
          <w:tcPr>
            <w:tcW w:w="5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consideration charges (gains)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(5,541)</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charges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7,724 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Acquisition-related expenses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Legal settlement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Legal judgment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of acquired IPR&amp;D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r>
      <w:tr>
        <w:trPr/>
        <w:tc>
          <w:tcPr>
            <w:tcW w:w="523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r>
      <w:tr>
        <w:trPr/>
        <w:tc>
          <w:tcPr>
            <w:tcW w:w="523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contingent consideration charges (gains), acquisition-related expenses, restructuring and other</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13,261 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2,872 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Flexion Acquisition Contingent Consideration</w:t>
      </w:r>
    </w:p>
    <w:p>
      <w:pPr>
        <w:pStyle w:val="TextBody"/>
        <w:bidi w:val="0"/>
        <w:spacing w:lineRule="auto" w:line="288" w:before="180" w:after="283"/>
        <w:ind w:left="0" w:right="0" w:firstLine="450"/>
        <w:jc w:val="left"/>
        <w:rPr/>
      </w:pPr>
      <w:r>
        <w:rPr>
          <w:rFonts w:ascii="Times New Roman;serif" w:hAnsi="Times New Roman;serif"/>
          <w:b w:val="false"/>
          <w:color w:val="000000"/>
          <w:sz w:val="20"/>
        </w:rPr>
        <w:t xml:space="preserve">The Company recognized charges of $0.6 million and gains of $2.4 million related to contingent consideration arising from the Flexion Acquisition during the three and nine months ended September 30, 2025, respectively. The Company recognized gains of $3.2 million and $5.5 million related to contingent consideration during the three and nine months ended September 30, 2024, respectively. See Note 10, </w:t>
      </w:r>
      <w:r>
        <w:rPr>
          <w:rFonts w:ascii="Times New Roman;serif" w:hAnsi="Times New Roman;serif"/>
          <w:b w:val="false"/>
          <w:i/>
          <w:color w:val="000000"/>
          <w:sz w:val="20"/>
        </w:rPr>
        <w:t>Financial Instruments</w:t>
      </w:r>
      <w:r>
        <w:rPr>
          <w:rFonts w:ascii="Times New Roman;serif" w:hAnsi="Times New Roman;serif"/>
          <w:b w:val="false"/>
          <w:color w:val="000000"/>
          <w:sz w:val="20"/>
        </w:rPr>
        <w:t>, for information regarding the method and key assumptions used in the fair value measurements of contingent consideration and more information regarding the changes in fair value.</w:t>
      </w:r>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2025 Restructuring Charges</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July 2025, as a result of improving manufacturing efficiencies for EXPAREL, the Company instituted a reduction in force at its Science Center Campus in San Diego, California. The Company’s enhanced efficiencies are the result of its multi-year investment in two large-scale 200+ liter EXPAREL batch manufacturing suites located in San Diego and Swindon, U.K., which commenced commercial production in 2024 and 2021, respectively.</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These two large-scale manufacturing suites are capable of producing bulk EXPAREL volumes that are approximately four-fold greater than the Company’s 45-liter batch manufacturing process. The Company believes these larger manufacturing suites provide ample capacity for meeting the growing demand and improving gross margins for EXPAREL through a meaningfully more favorable cost structure and manufacturing yields versus the 45-liter batch process. As a result, the Company decommissioned its 45-liter EXPAREL batch manufacturing suite located in San Diego and reduce its workforce accordingly. The reduction impacted 71 employees or approximately 8% of the Company’s then-total workforce. </w:t>
      </w:r>
    </w:p>
    <w:p>
      <w:pPr>
        <w:pStyle w:val="TextBody"/>
        <w:bidi w:val="0"/>
        <w:spacing w:lineRule="auto" w:line="288" w:before="180" w:after="283"/>
        <w:ind w:left="0" w:right="0" w:firstLine="450"/>
        <w:jc w:val="left"/>
        <w:rPr/>
      </w:pPr>
      <w:r>
        <w:rPr>
          <w:rFonts w:ascii="Times New Roman;serif" w:hAnsi="Times New Roman;serif"/>
          <w:b w:val="false"/>
          <w:color w:val="000000"/>
          <w:sz w:val="20"/>
        </w:rPr>
        <w:t>During both the three and nine months ended September 30, 2025, the Company recognized $3.7 million of employee termination benefit charges, under ASC 420</w:t>
      </w:r>
      <w:r>
        <w:rPr>
          <w:color w:val="000000"/>
        </w:rPr>
        <w:t>—</w:t>
      </w:r>
      <w:r>
        <w:rPr>
          <w:rFonts w:ascii="Times New Roman;serif" w:hAnsi="Times New Roman;serif"/>
          <w:b w:val="false"/>
          <w:i/>
          <w:color w:val="000000"/>
          <w:sz w:val="20"/>
        </w:rPr>
        <w:t>Liabilities for Exit or Restructuring Activities.</w:t>
      </w:r>
      <w:r>
        <w:rPr>
          <w:color w:val="000000"/>
        </w:rPr>
        <w:t xml:space="preserve"> </w:t>
      </w:r>
      <w:r>
        <w:rPr>
          <w:rFonts w:ascii="Times New Roman;serif" w:hAnsi="Times New Roman;serif"/>
          <w:b w:val="false"/>
          <w:color w:val="000000"/>
          <w:sz w:val="20"/>
        </w:rPr>
        <w:t>These employee termination benefits consist of garden leave under California employment law, severance, healthcare benefits, and, to a lesser extent, other one-time termination benefits.</w:t>
      </w:r>
    </w:p>
    <w:p>
      <w:pPr>
        <w:pStyle w:val="TextBody"/>
        <w:bidi w:val="0"/>
        <w:spacing w:lineRule="auto" w:line="288" w:before="180" w:after="283"/>
        <w:ind w:left="0" w:right="0" w:firstLine="450"/>
        <w:jc w:val="left"/>
        <w:rPr/>
      </w:pPr>
      <w:r>
        <w:rPr>
          <w:rFonts w:ascii="Times New Roman;serif" w:hAnsi="Times New Roman;serif"/>
          <w:b w:val="false"/>
          <w:color w:val="000000"/>
          <w:sz w:val="20"/>
        </w:rPr>
        <w:t xml:space="preserve">As noted in Note 5, </w:t>
      </w:r>
      <w:r>
        <w:rPr>
          <w:rFonts w:ascii="Times New Roman;serif" w:hAnsi="Times New Roman;serif"/>
          <w:b w:val="false"/>
          <w:i/>
          <w:color w:val="000000"/>
          <w:sz w:val="20"/>
        </w:rPr>
        <w:t>Inventories</w:t>
      </w:r>
      <w:r>
        <w:rPr>
          <w:rFonts w:ascii="Times New Roman;serif" w:hAnsi="Times New Roman;serif"/>
          <w:b w:val="false"/>
          <w:color w:val="000000"/>
          <w:sz w:val="20"/>
        </w:rPr>
        <w:t xml:space="preserve">, and Note 6, </w:t>
      </w:r>
      <w:r>
        <w:rPr>
          <w:rFonts w:ascii="Times New Roman;serif" w:hAnsi="Times New Roman;serif"/>
          <w:b w:val="false"/>
          <w:i/>
          <w:color w:val="000000"/>
          <w:sz w:val="20"/>
        </w:rPr>
        <w:t>Fixed Assets</w:t>
      </w:r>
      <w:r>
        <w:rPr>
          <w:rFonts w:ascii="Times New Roman;serif" w:hAnsi="Times New Roman;serif"/>
          <w:b w:val="false"/>
          <w:color w:val="000000"/>
          <w:sz w:val="20"/>
        </w:rPr>
        <w:t>, the Company reserved $1.0 million of inventory and recognized $5.5 million of accelerated depreciation expense during the nine months ended September 30, 2025 associated with the decommission of the 45-liter manufacturing assets, which was recognized as costs of goods sold in the condensed consolidated statements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75260"/>
                <wp:effectExtent l="0" t="0" r="0" b="0"/>
                <wp:wrapNone/>
                <wp:docPr id="32" name="Frame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Q3 </w:t>
                            </w:r>
                            <w:r>
                              <w:rPr>
                                <w:rFonts w:ascii="Times New Roman;serif" w:hAnsi="Times New Roman;serif"/>
                                <w:b w:val="false"/>
                                <w:color w:val="000000"/>
                                <w:sz w:val="20"/>
                              </w:rPr>
                              <w:t>2025</w:t>
                            </w:r>
                            <w:r>
                              <w:rPr>
                                <w:color w:val="000000"/>
                              </w:rPr>
                              <w:t xml:space="preserve"> </w:t>
                            </w:r>
                            <w:r>
                              <w:rPr>
                                <w:rFonts w:ascii="Times New Roman;serif" w:hAnsi="Times New Roman;serif"/>
                                <w:b w:val="false"/>
                                <w:color w:val="000000"/>
                                <w:sz w:val="19"/>
                              </w:rPr>
                              <w:t>Form 10-Q | 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Q3 </w:t>
                      </w:r>
                      <w:r>
                        <w:rPr>
                          <w:rFonts w:ascii="Times New Roman;serif" w:hAnsi="Times New Roman;serif"/>
                          <w:b w:val="false"/>
                          <w:color w:val="000000"/>
                          <w:sz w:val="20"/>
                        </w:rPr>
                        <w:t>2025</w:t>
                      </w:r>
                      <w:r>
                        <w:rPr>
                          <w:color w:val="000000"/>
                        </w:rPr>
                        <w:t xml:space="preserve"> </w:t>
                      </w:r>
                      <w:r>
                        <w:rPr>
                          <w:rFonts w:ascii="Times New Roman;serif" w:hAnsi="Times New Roman;serif"/>
                          <w:b w:val="false"/>
                          <w:color w:val="000000"/>
                          <w:sz w:val="19"/>
                        </w:rPr>
                        <w:t>Form 10-Q | 30</w:t>
                      </w:r>
                    </w:p>
                  </w:txbxContent>
                </v:textbox>
                <w10:wrap type="none"/>
              </v:rect>
            </w:pict>
          </mc:Fallback>
        </mc:AlternateContent>
      </w:r>
    </w:p>
    <w:p>
      <w:pPr>
        <w:pStyle w:val="TextBody"/>
        <w:bidi w:val="0"/>
        <w:spacing w:lineRule="auto" w:line="288" w:before="0" w:after="0"/>
        <w:jc w:val="left"/>
        <w:rPr/>
      </w:pPr>
      <w:hyperlink w:anchor="i004be9cfd92c48c78448e0b03d16957e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ind w:left="0" w:right="0" w:firstLine="450"/>
        <w:jc w:val="left"/>
        <w:rPr/>
      </w:pPr>
      <w:r>
        <w:rPr>
          <w:rFonts w:ascii="Times New Roman;serif" w:hAnsi="Times New Roman;serif"/>
          <w:b w:val="false"/>
          <w:color w:val="212529"/>
          <w:sz w:val="20"/>
        </w:rPr>
        <w:t>The Company’s 2025 restructuring charges,</w:t>
      </w:r>
      <w:r>
        <w:rPr>
          <w:color w:val="000000"/>
        </w:rPr>
        <w:t xml:space="preserve"> </w:t>
      </w:r>
      <w:r>
        <w:rPr>
          <w:rFonts w:ascii="Times New Roman;serif" w:hAnsi="Times New Roman;serif"/>
          <w:b w:val="false"/>
          <w:color w:val="000000"/>
          <w:sz w:val="20"/>
        </w:rPr>
        <w:t>including the beginning and ending liability balances,</w:t>
      </w:r>
      <w:r>
        <w:rPr>
          <w:color w:val="212529"/>
        </w:rPr>
        <w:t xml:space="preserve"> </w:t>
      </w:r>
      <w:r>
        <w:rPr>
          <w:rFonts w:ascii="Times New Roman;serif" w:hAnsi="Times New Roman;serif"/>
          <w:b w:val="false"/>
          <w:color w:val="212529"/>
          <w:sz w:val="20"/>
        </w:rPr>
        <w:t xml:space="preserve">are summarized below (in thousands): </w:t>
      </w:r>
    </w:p>
    <w:tbl>
      <w:tblPr>
        <w:tblW w:w="5264" w:type="dxa"/>
        <w:jc w:val="left"/>
        <w:tblInd w:w="0" w:type="dxa"/>
        <w:tblLayout w:type="fixed"/>
        <w:tblCellMar>
          <w:top w:w="28" w:type="dxa"/>
          <w:left w:w="28" w:type="dxa"/>
          <w:bottom w:w="28" w:type="dxa"/>
          <w:right w:w="28" w:type="dxa"/>
        </w:tblCellMar>
      </w:tblPr>
      <w:tblGrid>
        <w:gridCol w:w="977"/>
        <w:gridCol w:w="859"/>
        <w:gridCol w:w="864"/>
        <w:gridCol w:w="651"/>
        <w:gridCol w:w="1438"/>
        <w:gridCol w:w="475"/>
      </w:tblGrid>
      <w:tr>
        <w:trPr/>
        <w:tc>
          <w:tcPr>
            <w:tcW w:w="977"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438"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Employee Termination Benefits</w:t>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2024</w:t>
            </w:r>
          </w:p>
        </w:tc>
        <w:tc>
          <w:tcPr>
            <w:tcW w:w="6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Charges incurred</w:t>
            </w:r>
          </w:p>
        </w:tc>
        <w:tc>
          <w:tcPr>
            <w:tcW w:w="2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3,728 </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Cash payments made / settled</w:t>
            </w:r>
          </w:p>
        </w:tc>
        <w:tc>
          <w:tcPr>
            <w:tcW w:w="2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(2,772)</w:t>
            </w:r>
          </w:p>
        </w:tc>
        <w:tc>
          <w:tcPr>
            <w:tcW w:w="4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September 30, 2025</w:t>
            </w:r>
          </w:p>
        </w:tc>
        <w:tc>
          <w:tcPr>
            <w:tcW w:w="6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956 </w:t>
            </w:r>
          </w:p>
        </w:tc>
        <w:tc>
          <w:tcPr>
            <w:tcW w:w="4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2024 Restructuring Charges</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February 2024, the Company initiated a restructuring plan designed to ensure it is well positioned for long-term growth. The restructuring plan included: (i) reshaping the executive team, (ii) reallocating efforts and resources from its ex-U.S. and certain early-stage development programs to its U.S. commercial portfolio in the U.S. market and (iii) reprioritizing investments to enhance key commercial capabilities and expand EXPAREL utilization. The Company recognized $1.2 million and $7.7 million of restructuring charges for the three and nine months ended September 30, 2024, respectively, related to employee termination benefits, such as the acceleration of share-based compensation, severance, and, to a lesser extent, other employment-related termination costs, as well as contract termination costs.</w:t>
      </w:r>
    </w:p>
    <w:p>
      <w:pPr>
        <w:pStyle w:val="TextBody"/>
        <w:bidi w:val="0"/>
        <w:spacing w:lineRule="auto" w:line="288" w:before="180" w:after="283"/>
        <w:ind w:left="0" w:right="0" w:firstLine="450"/>
        <w:jc w:val="left"/>
        <w:rPr/>
      </w:pPr>
      <w:r>
        <w:rPr>
          <w:rFonts w:ascii="Times New Roman;serif" w:hAnsi="Times New Roman;serif"/>
          <w:b w:val="false"/>
          <w:color w:val="212529"/>
          <w:sz w:val="20"/>
        </w:rPr>
        <w:t>The Company’s 2024 restructuring charges,</w:t>
      </w:r>
      <w:r>
        <w:rPr>
          <w:color w:val="000000"/>
        </w:rPr>
        <w:t xml:space="preserve"> </w:t>
      </w:r>
      <w:r>
        <w:rPr>
          <w:rFonts w:ascii="Times New Roman;serif" w:hAnsi="Times New Roman;serif"/>
          <w:b w:val="false"/>
          <w:color w:val="000000"/>
          <w:sz w:val="20"/>
        </w:rPr>
        <w:t>including the beginning and ending liability balances,</w:t>
      </w:r>
      <w:r>
        <w:rPr>
          <w:color w:val="212529"/>
        </w:rPr>
        <w:t xml:space="preserve"> </w:t>
      </w:r>
      <w:r>
        <w:rPr>
          <w:rFonts w:ascii="Times New Roman;serif" w:hAnsi="Times New Roman;serif"/>
          <w:b w:val="false"/>
          <w:color w:val="212529"/>
          <w:sz w:val="20"/>
        </w:rPr>
        <w:t xml:space="preserve">are summarized below (in thousands): </w:t>
      </w:r>
    </w:p>
    <w:tbl>
      <w:tblPr>
        <w:tblW w:w="10205" w:type="dxa"/>
        <w:jc w:val="left"/>
        <w:tblInd w:w="0" w:type="dxa"/>
        <w:tblLayout w:type="fixed"/>
        <w:tblCellMar>
          <w:top w:w="28" w:type="dxa"/>
          <w:left w:w="28" w:type="dxa"/>
          <w:bottom w:w="28" w:type="dxa"/>
          <w:right w:w="28" w:type="dxa"/>
        </w:tblCellMar>
      </w:tblPr>
      <w:tblGrid>
        <w:gridCol w:w="1030"/>
        <w:gridCol w:w="884"/>
        <w:gridCol w:w="889"/>
        <w:gridCol w:w="830"/>
        <w:gridCol w:w="1601"/>
        <w:gridCol w:w="432"/>
        <w:gridCol w:w="150"/>
        <w:gridCol w:w="150"/>
        <w:gridCol w:w="150"/>
        <w:gridCol w:w="724"/>
        <w:gridCol w:w="1397"/>
        <w:gridCol w:w="376"/>
        <w:gridCol w:w="150"/>
        <w:gridCol w:w="150"/>
        <w:gridCol w:w="150"/>
        <w:gridCol w:w="313"/>
        <w:gridCol w:w="607"/>
        <w:gridCol w:w="222"/>
      </w:tblGrid>
      <w:tr>
        <w:trPr/>
        <w:tc>
          <w:tcPr>
            <w:tcW w:w="1030"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601"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r>
      <w:tr>
        <w:trPr/>
        <w:tc>
          <w:tcPr>
            <w:tcW w:w="2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3"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Employee Termination Benefits </w:t>
            </w:r>
            <w:r>
              <w:rPr>
                <w:rFonts w:ascii="Times New Roman;serif" w:hAnsi="Times New Roman;serif"/>
                <w:b/>
                <w:color w:val="000000"/>
                <w:sz w:val="12"/>
              </w:rPr>
              <w:t>(1)</w:t>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Contract Termination Costs</w:t>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28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2023</w:t>
            </w:r>
          </w:p>
        </w:tc>
        <w:tc>
          <w:tcPr>
            <w:tcW w:w="8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Charges incurred</w:t>
            </w:r>
          </w:p>
        </w:tc>
        <w:tc>
          <w:tcPr>
            <w:tcW w:w="24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3,220 </w:t>
            </w:r>
          </w:p>
        </w:tc>
        <w:tc>
          <w:tcPr>
            <w:tcW w:w="4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1,709 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4,929 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3" w:type="dxa"/>
            <w:gridSpan w:val="3"/>
            <w:tcBorders/>
            <w:vAlign w:val="center"/>
          </w:tcPr>
          <w:p>
            <w:pPr>
              <w:pStyle w:val="TableContents"/>
              <w:bidi w:val="0"/>
              <w:spacing w:before="0" w:after="283"/>
              <w:jc w:val="left"/>
              <w:rPr>
                <w:sz w:val="4"/>
                <w:szCs w:val="4"/>
              </w:rPr>
            </w:pPr>
            <w:r>
              <w:rPr>
                <w:sz w:val="4"/>
                <w:szCs w:val="4"/>
              </w:rPr>
            </w:r>
          </w:p>
        </w:tc>
        <w:tc>
          <w:tcPr>
            <w:tcW w:w="2863"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2497"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r>
      <w:tr>
        <w:trPr/>
        <w:tc>
          <w:tcPr>
            <w:tcW w:w="28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Cash payments made / settled</w:t>
            </w:r>
          </w:p>
        </w:tc>
        <w:tc>
          <w:tcPr>
            <w:tcW w:w="24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(1,985)</w:t>
            </w:r>
          </w:p>
        </w:tc>
        <w:tc>
          <w:tcPr>
            <w:tcW w:w="4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(2,005)</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2024</w:t>
            </w:r>
          </w:p>
        </w:tc>
        <w:tc>
          <w:tcPr>
            <w:tcW w:w="24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1,235 </w:t>
            </w:r>
          </w:p>
        </w:tc>
        <w:tc>
          <w:tcPr>
            <w:tcW w:w="4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1,689 </w:t>
            </w:r>
          </w:p>
        </w:tc>
        <w:tc>
          <w:tcPr>
            <w:tcW w:w="3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2,924 </w:t>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3" w:type="dxa"/>
            <w:gridSpan w:val="3"/>
            <w:tcBorders/>
            <w:vAlign w:val="center"/>
          </w:tcPr>
          <w:p>
            <w:pPr>
              <w:pStyle w:val="TableContents"/>
              <w:bidi w:val="0"/>
              <w:spacing w:before="0" w:after="283"/>
              <w:jc w:val="left"/>
              <w:rPr>
                <w:sz w:val="4"/>
                <w:szCs w:val="4"/>
              </w:rPr>
            </w:pPr>
            <w:r>
              <w:rPr>
                <w:sz w:val="4"/>
                <w:szCs w:val="4"/>
              </w:rPr>
            </w:r>
          </w:p>
        </w:tc>
        <w:tc>
          <w:tcPr>
            <w:tcW w:w="2863"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2497"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r>
      <w:tr>
        <w:trPr/>
        <w:tc>
          <w:tcPr>
            <w:tcW w:w="2803" w:type="dxa"/>
            <w:gridSpan w:val="3"/>
            <w:tcBorders/>
            <w:vAlign w:val="center"/>
          </w:tcPr>
          <w:p>
            <w:pPr>
              <w:pStyle w:val="TableContents"/>
              <w:bidi w:val="0"/>
              <w:spacing w:before="0" w:after="283"/>
              <w:jc w:val="left"/>
              <w:rPr>
                <w:sz w:val="4"/>
                <w:szCs w:val="4"/>
              </w:rPr>
            </w:pPr>
            <w:r>
              <w:rPr>
                <w:sz w:val="4"/>
                <w:szCs w:val="4"/>
              </w:rPr>
            </w:r>
          </w:p>
        </w:tc>
        <w:tc>
          <w:tcPr>
            <w:tcW w:w="2863"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2497"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r>
      <w:tr>
        <w:trPr/>
        <w:tc>
          <w:tcPr>
            <w:tcW w:w="28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Cash payments made / settled</w:t>
            </w:r>
          </w:p>
        </w:tc>
        <w:tc>
          <w:tcPr>
            <w:tcW w:w="24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(1,225)</w:t>
            </w:r>
          </w:p>
        </w:tc>
        <w:tc>
          <w:tcPr>
            <w:tcW w:w="4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(1,689)</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(2,914)</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September 30, 2025</w:t>
            </w:r>
          </w:p>
        </w:tc>
        <w:tc>
          <w:tcPr>
            <w:tcW w:w="8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4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8"/>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(1) During the year ended December 31, 2024, there was $3.6 million of employee termination benefits related to share-based compensation excluded from the table above as they are non-cash and recorded against additional paid-in capital.</w:t>
            </w:r>
          </w:p>
        </w:tc>
      </w:tr>
    </w:tbl>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Acquisition-Related Expenses</w:t>
      </w:r>
    </w:p>
    <w:p>
      <w:pPr>
        <w:pStyle w:val="TextBody"/>
        <w:bidi w:val="0"/>
        <w:spacing w:lineRule="auto" w:line="288" w:before="180" w:after="283"/>
        <w:ind w:left="0" w:right="0" w:firstLine="450"/>
        <w:jc w:val="left"/>
        <w:rPr/>
      </w:pPr>
      <w:r>
        <w:rPr>
          <w:rFonts w:ascii="Times New Roman;serif" w:hAnsi="Times New Roman;serif"/>
          <w:b w:val="false"/>
          <w:color w:val="000000"/>
          <w:sz w:val="20"/>
        </w:rPr>
        <w:t xml:space="preserve">The Company recognized an acquisition-related credit of $0.3 million and costs of $2.2 million during the three and nine months ended September 30, 2025, respectively. These costs primarily related to third-party services and legal fees associated with the GQ Bio Acquisition. See Note 3, </w:t>
      </w:r>
      <w:r>
        <w:rPr>
          <w:rFonts w:ascii="Times New Roman;serif" w:hAnsi="Times New Roman;serif"/>
          <w:b w:val="false"/>
          <w:i/>
          <w:color w:val="000000"/>
          <w:sz w:val="20"/>
        </w:rPr>
        <w:t>GQ Bio Therapeutics Acquisition</w:t>
      </w:r>
      <w:r>
        <w:rPr>
          <w:rFonts w:ascii="Times New Roman;serif" w:hAnsi="Times New Roman;serif"/>
          <w:b w:val="false"/>
          <w:color w:val="000000"/>
          <w:sz w:val="20"/>
        </w:rPr>
        <w:t>, for more information.</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 recognized acquisition-related expenses of $0.3 million and $0.7 million during the three and nine months ended September 30, 2024, respectively. These costs primarily related to vacant and underutilized Flexion leases that were assumed from the Flexion Acquisition.</w:t>
      </w:r>
    </w:p>
    <w:p>
      <w:pPr>
        <w:pStyle w:val="TextBody"/>
        <w:bidi w:val="0"/>
        <w:spacing w:lineRule="auto" w:line="288" w:before="180" w:after="283"/>
        <w:jc w:val="left"/>
        <w:rPr>
          <w:rFonts w:ascii="Times New Roman;serif" w:hAnsi="Times New Roman;serif"/>
          <w:b w:val="false"/>
          <w:i/>
          <w:color w:val="212529"/>
          <w:sz w:val="20"/>
        </w:rPr>
      </w:pPr>
      <w:r>
        <w:rPr>
          <w:rFonts w:ascii="Times New Roman;serif" w:hAnsi="Times New Roman;serif"/>
          <w:b w:val="false"/>
          <w:i/>
          <w:color w:val="212529"/>
          <w:sz w:val="20"/>
        </w:rPr>
        <w:t>Legal Settlement</w:t>
      </w:r>
    </w:p>
    <w:p>
      <w:pPr>
        <w:pStyle w:val="TextBody"/>
        <w:bidi w:val="0"/>
        <w:spacing w:lineRule="auto" w:line="288" w:before="180" w:after="283"/>
        <w:ind w:left="0" w:right="0" w:firstLine="450"/>
        <w:jc w:val="left"/>
        <w:rPr/>
      </w:pPr>
      <w:r>
        <w:rPr>
          <w:rFonts w:ascii="Times New Roman;serif" w:hAnsi="Times New Roman;serif"/>
          <w:b w:val="false"/>
          <w:color w:val="212529"/>
          <w:sz w:val="20"/>
        </w:rPr>
        <w:t xml:space="preserve">The Company recognized </w:t>
      </w:r>
      <w:r>
        <w:rPr>
          <w:rFonts w:ascii="Times New Roman;serif" w:hAnsi="Times New Roman;serif"/>
          <w:b w:val="false"/>
          <w:color w:val="000000"/>
          <w:sz w:val="20"/>
        </w:rPr>
        <w:t>$7.0 million</w:t>
      </w:r>
      <w:r>
        <w:rPr>
          <w:color w:val="212529"/>
        </w:rPr>
        <w:t xml:space="preserve"> </w:t>
      </w:r>
      <w:r>
        <w:rPr>
          <w:rFonts w:ascii="Times New Roman;serif" w:hAnsi="Times New Roman;serif"/>
          <w:b w:val="false"/>
          <w:color w:val="212529"/>
          <w:sz w:val="20"/>
        </w:rPr>
        <w:t xml:space="preserve">of costs during the </w:t>
      </w:r>
      <w:r>
        <w:rPr>
          <w:rFonts w:ascii="Times New Roman;serif" w:hAnsi="Times New Roman;serif"/>
          <w:b w:val="false"/>
          <w:color w:val="000000"/>
          <w:sz w:val="20"/>
        </w:rPr>
        <w:t>nine months ended</w:t>
      </w:r>
      <w:r>
        <w:rPr>
          <w:color w:val="212529"/>
        </w:rPr>
        <w:t xml:space="preserve"> </w:t>
      </w:r>
      <w:r>
        <w:rPr>
          <w:rFonts w:ascii="Times New Roman;serif" w:hAnsi="Times New Roman;serif"/>
          <w:b w:val="false"/>
          <w:color w:val="000000"/>
          <w:sz w:val="20"/>
        </w:rPr>
        <w:t>September 30, 2025</w:t>
      </w:r>
      <w:r>
        <w:rPr>
          <w:color w:val="212529"/>
        </w:rPr>
        <w:t xml:space="preserve"> </w:t>
      </w:r>
      <w:r>
        <w:rPr>
          <w:rFonts w:ascii="Times New Roman;serif" w:hAnsi="Times New Roman;serif"/>
          <w:b w:val="false"/>
          <w:color w:val="000000"/>
          <w:sz w:val="20"/>
        </w:rPr>
        <w:t xml:space="preserve">related to the patent infringement suits against eVenus, Jiangsu Hengrui and Fresenius (each as defined below). For more information, see Note 16, </w:t>
      </w:r>
      <w:r>
        <w:rPr>
          <w:rFonts w:ascii="Times New Roman;serif" w:hAnsi="Times New Roman;serif"/>
          <w:b w:val="false"/>
          <w:i/>
          <w:color w:val="000000"/>
          <w:sz w:val="20"/>
        </w:rPr>
        <w:t>Commitments and Contingencies.</w:t>
      </w:r>
    </w:p>
    <w:p>
      <w:pPr>
        <w:pStyle w:val="TextBody"/>
        <w:bidi w:val="0"/>
        <w:spacing w:lineRule="auto" w:line="288" w:before="180" w:after="283"/>
        <w:jc w:val="left"/>
        <w:rPr>
          <w:rFonts w:ascii="Times New Roman;serif" w:hAnsi="Times New Roman;serif"/>
          <w:b w:val="false"/>
          <w:i/>
          <w:color w:val="212529"/>
          <w:sz w:val="20"/>
        </w:rPr>
      </w:pPr>
      <w:r>
        <w:rPr>
          <w:rFonts w:ascii="Times New Roman;serif" w:hAnsi="Times New Roman;serif"/>
          <w:b w:val="false"/>
          <w:i/>
          <w:color w:val="212529"/>
          <w:sz w:val="20"/>
        </w:rPr>
        <w:t xml:space="preserve">Legal Judgment </w:t>
      </w:r>
    </w:p>
    <w:p>
      <w:pPr>
        <w:pStyle w:val="TextBody"/>
        <w:bidi w:val="0"/>
        <w:spacing w:lineRule="auto" w:line="288" w:before="180" w:after="283"/>
        <w:ind w:left="0" w:right="0" w:firstLine="450"/>
        <w:jc w:val="left"/>
        <w:rPr/>
      </w:pPr>
      <w:r>
        <w:rPr>
          <w:rFonts w:ascii="Times New Roman;serif" w:hAnsi="Times New Roman;serif"/>
          <w:b w:val="false"/>
          <w:color w:val="212529"/>
          <w:sz w:val="20"/>
        </w:rPr>
        <w:t xml:space="preserve">The Company recognized other income of </w:t>
      </w:r>
      <w:r>
        <w:rPr>
          <w:rFonts w:ascii="Times New Roman;serif" w:hAnsi="Times New Roman;serif"/>
          <w:b w:val="false"/>
          <w:color w:val="000000"/>
          <w:sz w:val="20"/>
        </w:rPr>
        <w:t xml:space="preserve">$23.1 million </w:t>
      </w:r>
      <w:r>
        <w:rPr>
          <w:rFonts w:ascii="Times New Roman;serif" w:hAnsi="Times New Roman;serif"/>
          <w:b w:val="false"/>
          <w:color w:val="212529"/>
          <w:sz w:val="20"/>
        </w:rPr>
        <w:t xml:space="preserve">during both the three and </w:t>
      </w:r>
      <w:r>
        <w:rPr>
          <w:rFonts w:ascii="Times New Roman;serif" w:hAnsi="Times New Roman;serif"/>
          <w:b w:val="false"/>
          <w:color w:val="000000"/>
          <w:sz w:val="20"/>
        </w:rPr>
        <w:t>nine months ended</w:t>
      </w:r>
      <w:r>
        <w:rPr>
          <w:color w:val="212529"/>
        </w:rPr>
        <w:t xml:space="preserve"> </w:t>
      </w:r>
      <w:r>
        <w:rPr>
          <w:rFonts w:ascii="Times New Roman;serif" w:hAnsi="Times New Roman;serif"/>
          <w:b w:val="false"/>
          <w:color w:val="000000"/>
          <w:sz w:val="20"/>
        </w:rPr>
        <w:t>September 30, 2025</w:t>
      </w:r>
      <w:r>
        <w:rPr>
          <w:color w:val="212529"/>
        </w:rPr>
        <w:t xml:space="preserve"> </w:t>
      </w:r>
      <w:r>
        <w:rPr>
          <w:rFonts w:ascii="Times New Roman;serif" w:hAnsi="Times New Roman;serif"/>
          <w:b w:val="false"/>
          <w:color w:val="212529"/>
          <w:sz w:val="20"/>
        </w:rPr>
        <w:t xml:space="preserve">upon receipt of a cash payment associated with the U.S. District Court for the District of Nevada issuing judgment </w:t>
      </w:r>
      <w:r>
        <w:rPr>
          <w:rFonts w:ascii="Times New Roman;serif" w:hAnsi="Times New Roman;serif"/>
          <w:b w:val="false"/>
          <w:color w:val="000000"/>
          <w:sz w:val="20"/>
        </w:rPr>
        <w:t xml:space="preserve">declaring that the Research Development Foundation was required to repay the Company the royalties on EXPAREL sales that the Company previously paid under protest. For more information, see Note 16, </w:t>
      </w:r>
      <w:r>
        <w:rPr>
          <w:rFonts w:ascii="Times New Roman;serif" w:hAnsi="Times New Roman;serif"/>
          <w:b w:val="false"/>
          <w:i/>
          <w:color w:val="000000"/>
          <w:sz w:val="20"/>
        </w:rPr>
        <w:t>Commitments and Contingencies.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75260"/>
                <wp:effectExtent l="0" t="0" r="0" b="0"/>
                <wp:wrapNone/>
                <wp:docPr id="33" name="Frame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Q3 </w:t>
                            </w:r>
                            <w:r>
                              <w:rPr>
                                <w:rFonts w:ascii="Times New Roman;serif" w:hAnsi="Times New Roman;serif"/>
                                <w:b w:val="false"/>
                                <w:color w:val="000000"/>
                                <w:sz w:val="20"/>
                              </w:rPr>
                              <w:t>2025</w:t>
                            </w:r>
                            <w:r>
                              <w:rPr>
                                <w:color w:val="000000"/>
                              </w:rPr>
                              <w:t xml:space="preserve"> </w:t>
                            </w:r>
                            <w:r>
                              <w:rPr>
                                <w:rFonts w:ascii="Times New Roman;serif" w:hAnsi="Times New Roman;serif"/>
                                <w:b w:val="false"/>
                                <w:color w:val="000000"/>
                                <w:sz w:val="19"/>
                              </w:rPr>
                              <w:t>Form 10-Q | 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Q3 </w:t>
                      </w:r>
                      <w:r>
                        <w:rPr>
                          <w:rFonts w:ascii="Times New Roman;serif" w:hAnsi="Times New Roman;serif"/>
                          <w:b w:val="false"/>
                          <w:color w:val="000000"/>
                          <w:sz w:val="20"/>
                        </w:rPr>
                        <w:t>2025</w:t>
                      </w:r>
                      <w:r>
                        <w:rPr>
                          <w:color w:val="000000"/>
                        </w:rPr>
                        <w:t xml:space="preserve"> </w:t>
                      </w:r>
                      <w:r>
                        <w:rPr>
                          <w:rFonts w:ascii="Times New Roman;serif" w:hAnsi="Times New Roman;serif"/>
                          <w:b w:val="false"/>
                          <w:color w:val="000000"/>
                          <w:sz w:val="19"/>
                        </w:rPr>
                        <w:t>Form 10-Q | 31</w:t>
                      </w:r>
                    </w:p>
                  </w:txbxContent>
                </v:textbox>
                <w10:wrap type="none"/>
              </v:rect>
            </w:pict>
          </mc:Fallback>
        </mc:AlternateContent>
      </w:r>
    </w:p>
    <w:p>
      <w:pPr>
        <w:pStyle w:val="TextBody"/>
        <w:bidi w:val="0"/>
        <w:spacing w:lineRule="auto" w:line="288" w:before="0" w:after="0"/>
        <w:jc w:val="left"/>
        <w:rPr/>
      </w:pPr>
      <w:hyperlink w:anchor="i004be9cfd92c48c78448e0b03d16957e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left"/>
        <w:rPr>
          <w:rFonts w:ascii="Times New Roman;serif" w:hAnsi="Times New Roman;serif"/>
          <w:b w:val="false"/>
          <w:i/>
          <w:color w:val="212529"/>
          <w:sz w:val="20"/>
        </w:rPr>
      </w:pPr>
      <w:r>
        <w:rPr>
          <w:rFonts w:ascii="Times New Roman;serif" w:hAnsi="Times New Roman;serif"/>
          <w:b w:val="false"/>
          <w:i/>
          <w:color w:val="212529"/>
          <w:sz w:val="20"/>
        </w:rPr>
        <w:t>Impairment of Acquired IPR&amp;D</w:t>
      </w:r>
    </w:p>
    <w:p>
      <w:pPr>
        <w:pStyle w:val="TextBody"/>
        <w:bidi w:val="0"/>
        <w:spacing w:lineRule="auto" w:line="288" w:before="180" w:after="283"/>
        <w:ind w:left="0" w:right="0" w:firstLine="450"/>
        <w:jc w:val="left"/>
        <w:rPr/>
      </w:pPr>
      <w:r>
        <w:rPr>
          <w:rFonts w:ascii="Times New Roman;serif" w:hAnsi="Times New Roman;serif"/>
          <w:b w:val="false"/>
          <w:color w:val="212529"/>
          <w:sz w:val="20"/>
        </w:rPr>
        <w:t xml:space="preserve">The Company recognized an impairment of $25.9 million during the three and </w:t>
      </w:r>
      <w:r>
        <w:rPr>
          <w:rFonts w:ascii="Times New Roman;serif" w:hAnsi="Times New Roman;serif"/>
          <w:b w:val="false"/>
          <w:color w:val="000000"/>
          <w:sz w:val="20"/>
        </w:rPr>
        <w:t>nine months ended</w:t>
      </w:r>
      <w:r>
        <w:rPr>
          <w:color w:val="212529"/>
        </w:rPr>
        <w:t xml:space="preserve"> </w:t>
      </w:r>
      <w:r>
        <w:rPr>
          <w:rFonts w:ascii="Times New Roman;serif" w:hAnsi="Times New Roman;serif"/>
          <w:b w:val="false"/>
          <w:color w:val="000000"/>
          <w:sz w:val="20"/>
        </w:rPr>
        <w:t xml:space="preserve">September 30, 2025, </w:t>
      </w:r>
      <w:r>
        <w:rPr>
          <w:rFonts w:ascii="Times New Roman;serif" w:hAnsi="Times New Roman;serif"/>
          <w:b w:val="false"/>
          <w:color w:val="212529"/>
          <w:sz w:val="20"/>
        </w:rPr>
        <w:t xml:space="preserve">for an acquired IPR&amp;D intangible asset related to ZILRETTA for the treatment of OA pain of the shoulder based on the amount that its previous carrying value of $33.9 million exceeded its current fair value of $8.0 million. See Note </w:t>
      </w:r>
      <w:r>
        <w:rPr>
          <w:rFonts w:ascii="Times New Roman;serif" w:hAnsi="Times New Roman;serif"/>
          <w:b w:val="false"/>
          <w:color w:val="000000"/>
          <w:sz w:val="20"/>
        </w:rPr>
        <w:t>8</w:t>
      </w:r>
      <w:r>
        <w:rPr>
          <w:rFonts w:ascii="Times New Roman;serif" w:hAnsi="Times New Roman;serif"/>
          <w:b w:val="false"/>
          <w:color w:val="212529"/>
          <w:sz w:val="20"/>
        </w:rPr>
        <w:t xml:space="preserve">, </w:t>
      </w:r>
      <w:r>
        <w:rPr>
          <w:rFonts w:ascii="Times New Roman;serif" w:hAnsi="Times New Roman;serif"/>
          <w:b w:val="false"/>
          <w:i/>
          <w:color w:val="212529"/>
          <w:sz w:val="20"/>
        </w:rPr>
        <w:t>Goodwill and Intangible Assets</w:t>
      </w:r>
      <w:r>
        <w:rPr>
          <w:rFonts w:ascii="Times New Roman;serif" w:hAnsi="Times New Roman;serif"/>
          <w:b w:val="false"/>
          <w:color w:val="212529"/>
          <w:sz w:val="20"/>
        </w:rPr>
        <w:t>, for more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NOTE 16—COMMITMENTS AND CONTINGENCIES</w:t>
      </w:r>
    </w:p>
    <w:p>
      <w:pPr>
        <w:pStyle w:val="TextBody"/>
        <w:bidi w:val="0"/>
        <w:spacing w:lineRule="auto" w:line="288" w:before="180" w:after="140"/>
        <w:jc w:val="left"/>
        <w:rPr>
          <w:rFonts w:ascii="Times New Roman;serif" w:hAnsi="Times New Roman;serif"/>
          <w:b/>
          <w:i/>
          <w:color w:val="000000"/>
          <w:sz w:val="20"/>
        </w:rPr>
      </w:pPr>
      <w:r>
        <w:rPr>
          <w:rFonts w:ascii="Times New Roman;serif" w:hAnsi="Times New Roman;serif"/>
          <w:b/>
          <w:i/>
          <w:color w:val="000000"/>
          <w:sz w:val="20"/>
        </w:rPr>
        <w:t>Legal Proceedings</w:t>
      </w:r>
    </w:p>
    <w:p>
      <w:pPr>
        <w:pStyle w:val="TextBody"/>
        <w:bidi w:val="0"/>
        <w:spacing w:lineRule="auto" w:line="288" w:before="180" w:after="18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From time to time, the Company has been and may again become involved in legal proceedings arising in the ordinary course of its business, including those related to its patents and intellectual property, product liability and government investigations. Except as described below, the Company is not presently a party to any legal proceedings that it believes to be material, and is not aware of any pending or threatened litigation against the Company which it believes could have a material adverse effect on its business, operating results, financial condition or cash flows. The Company is not in a position to assess the likelihood of any potential losses or adverse effect on its financial condition or to estimate the amount or range of potential losses, if any, from the following actions at this time.</w:t>
      </w:r>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MyoScience Milestone Litigation</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August 2020, the Company and its subsidiary, Pacira CryoTech, Inc. (“Pacira CryoTech”), filed a lawsuit in the Court of Chancery of the State of Delaware against Fortis Advisors LLC (“Fortis”), solely in its capacity as representative for the former securityholders of MyoScience, Inc. and certain other defendants, seeking declaratory judgment with respect to certain terms of the merger agreement for the MyoScience Acquisition (the “MyoScience Merger Agreement”), specifically related to the achievement of certain milestone payments under the MyoScience Merger Agreement. In October 2020, Fortis filed an answer and counterclaim against the Company and Pacira CryoTech seeking to recover certain milestone payments under the MyoScience Merger Agreement.</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 trial was conducted in September 2023. In January 2025, the Court issued its decision, finding that the disputed milestones were not met and therefore granted judgment to the Company in full. In March 2025, the Company filed a motion to recover attorney fees, and the parties subsequently agreed to settle the amount of expenses owed to the Company, whereby Fortis agreed to pay the Company $5.2 million and waived its rights to appeal the decision. A final judgment and order was entered in April 2025. The $5.2 million payment received was accounted for as a recovery of losses and recorded against selling, general and administrative expense in the nine months ended September 30, 2025 within the condensed consolidated statement of operations, consistent to where the previous expenses were recorded.</w:t>
      </w:r>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eVenus Pharmaceutical Laboratories Litigations</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October 2021, December 2021, April 2023 and May 2024, the Company received Notice Letters advising that eVenus Pharmaceutical Laboratories, Inc., or eVenus, of Princeton, New Jersey, submitted to the FDA an Abbreviated New Drug Application, or ANDA, with a Paragraph IV certification seeking authorization for the manufacturing and marketing of a generic bupivacaine liposome injectable suspension in the U.S. prior to the expiration of certain of the Company’s U.S. patents.</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Beginning in November 2021, the Company filed various patent infringement suits against eVenus, its parent company (Jiangsu Hengrui Pharmaceuticals, Co. Ltd., or Jiangsu Hengrui) and Fresenius Kabi USA, LLC, or Fresenius, (together, the “eVenus ANDA Filers”) in the U.S. District Court for the District of New Jersey asserting infringement of U.S. Patent No. 11,033,495 (the ‘495 patent) (21-cv-19829), U.S. Patent No. 11,179,336 (the ‘336 patent) (22-cv-00718), U.S. Patent No. 11,426,348 (the ‘348 patent) (23-cv-02367), U.S. Patent Nos. 11,819,574 (the ‘574 patent) and 11,819,575 (the ‘575 patent) (24-cv-06294), and U.S. Patent No. 11,925,706 (the ‘706 patent) (24-cv-07680). In December 2024, the Company filed a patent infringement suit against Fresenius and Jiangsu Hengrui in the Northern District of Illinois (24-cv-12416) asserting that the ANDA products will infringe U.S. Patent No. 12,156,940 (the ‘940 patent). Also in December 2024, the eVenus ANDA Filers filed an action for declaratory judgment of non-infringement and invalidity with respect to the ‘940 patent in the District Court of New Jersey (24-cv-11014).</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On April 7, 2025, the Company, along with its operating subsidiary, Pacira Pharmaceuticals, Inc., entered into a settlement agreement with the eVenus ANDA Filers with respect to the litigations noted above. Pursuant to the settlement agreement, the eVenus ANDA Filers will be enjoined from marketing a generic bupivacaine liposome injectable suspension before the expiration of the patents-in-suit, except as provided for in the settlement agreement, as described below. In settlement of all outstanding claims in the litigations, the Company agreed to provide the eVenus ANDA Filers with a license to the Company’s patents required to manufacture and sell certain volume-limited amounts of a generic bupivacaine liposome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75260"/>
                <wp:effectExtent l="0" t="0" r="0" b="0"/>
                <wp:wrapNone/>
                <wp:docPr id="34" name="Frame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Q3 </w:t>
                            </w:r>
                            <w:r>
                              <w:rPr>
                                <w:rFonts w:ascii="Times New Roman;serif" w:hAnsi="Times New Roman;serif"/>
                                <w:b w:val="false"/>
                                <w:color w:val="000000"/>
                                <w:sz w:val="20"/>
                              </w:rPr>
                              <w:t>2025</w:t>
                            </w:r>
                            <w:r>
                              <w:rPr>
                                <w:color w:val="000000"/>
                              </w:rPr>
                              <w:t xml:space="preserve"> </w:t>
                            </w:r>
                            <w:r>
                              <w:rPr>
                                <w:rFonts w:ascii="Times New Roman;serif" w:hAnsi="Times New Roman;serif"/>
                                <w:b w:val="false"/>
                                <w:color w:val="000000"/>
                                <w:sz w:val="19"/>
                              </w:rPr>
                              <w:t>Form 10-Q | 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Q3 </w:t>
                      </w:r>
                      <w:r>
                        <w:rPr>
                          <w:rFonts w:ascii="Times New Roman;serif" w:hAnsi="Times New Roman;serif"/>
                          <w:b w:val="false"/>
                          <w:color w:val="000000"/>
                          <w:sz w:val="20"/>
                        </w:rPr>
                        <w:t>2025</w:t>
                      </w:r>
                      <w:r>
                        <w:rPr>
                          <w:color w:val="000000"/>
                        </w:rPr>
                        <w:t xml:space="preserve"> </w:t>
                      </w:r>
                      <w:r>
                        <w:rPr>
                          <w:rFonts w:ascii="Times New Roman;serif" w:hAnsi="Times New Roman;serif"/>
                          <w:b w:val="false"/>
                          <w:color w:val="000000"/>
                          <w:sz w:val="19"/>
                        </w:rPr>
                        <w:t>Form 10-Q | 32</w:t>
                      </w:r>
                    </w:p>
                  </w:txbxContent>
                </v:textbox>
                <w10:wrap type="none"/>
              </v:rect>
            </w:pict>
          </mc:Fallback>
        </mc:AlternateContent>
      </w:r>
    </w:p>
    <w:p>
      <w:pPr>
        <w:pStyle w:val="TextBody"/>
        <w:bidi w:val="0"/>
        <w:spacing w:lineRule="auto" w:line="288" w:before="0" w:after="0"/>
        <w:jc w:val="left"/>
        <w:rPr/>
      </w:pPr>
      <w:hyperlink w:anchor="i004be9cfd92c48c78448e0b03d16957e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injectable suspension in the U.S. beginning on a confidential date that is sometime in early 2030. While the agreed-upon volume-limited percentages are confidential, they begin at a high single-digit percentage of the total volumes distributed in the U.S. market and increase gradually in each 12-month period following the volume-limited entry date until reaching a percentage in the low thirties in 2033 and increasing modestly in each of the next two 12-month periods before reaching a maximum percentage in the high thirties of the total volumes distributed in the U.S. for the final three years of the agreement. In addition, the Company has agreed to provide the eVenus ANDA Filers with a license to its patents required to manufacture and sell an unlimited quantity of a generic bupivacaine liposome injectable suspension in the U.S. beginning on a confidential date in 2039. In addition, in recognition of the Company’s expected savings with respect to, among other things, the avoidance of fees, costs, time and resources associated with continuing the litigations, the Company paid the eVenus ANDA Filers $7.0 million. This legal settlement cost was recorded within contingent consideration charges (gains), acquisition-related expenses, restructuring and other in the nine months ended September 30, 2025 in the Company’s condensed consolidated statement of operations.</w:t>
      </w:r>
    </w:p>
    <w:p>
      <w:pPr>
        <w:pStyle w:val="TextBody"/>
        <w:bidi w:val="0"/>
        <w:spacing w:lineRule="auto" w:line="288" w:before="180" w:after="180"/>
        <w:jc w:val="left"/>
        <w:rPr>
          <w:rFonts w:ascii="Times New Roman;serif" w:hAnsi="Times New Roman;serif"/>
          <w:b w:val="false"/>
          <w:i/>
          <w:color w:val="000000"/>
          <w:sz w:val="20"/>
        </w:rPr>
      </w:pPr>
      <w:r>
        <w:rPr>
          <w:rFonts w:ascii="Times New Roman;serif" w:hAnsi="Times New Roman;serif"/>
          <w:b w:val="false"/>
          <w:i/>
          <w:color w:val="000000"/>
          <w:sz w:val="20"/>
        </w:rPr>
        <w:t>Paragraph IV Certification Notices</w:t>
      </w:r>
    </w:p>
    <w:p>
      <w:pPr>
        <w:pStyle w:val="TextBody"/>
        <w:bidi w:val="0"/>
        <w:spacing w:lineRule="auto" w:line="288" w:before="0" w:after="0"/>
        <w:ind w:left="0" w:right="0" w:firstLine="450"/>
        <w:jc w:val="left"/>
        <w:rPr/>
      </w:pPr>
      <w:r>
        <w:rPr>
          <w:rFonts w:ascii="Times New Roman;serif" w:hAnsi="Times New Roman;serif"/>
          <w:b w:val="false"/>
          <w:color w:val="000000"/>
          <w:sz w:val="20"/>
        </w:rPr>
        <w:t xml:space="preserve">In October 2025, the Company received two separate Paragraph IV Certifications from two Chinese generic drug manufacturers (The WhiteOak Group, Inc., or WhiteOak, of Rockville, Maryland (a subsidiary of Zhejiang Haichang Biotechnology Co., Ltd.) and Qilu Pharmaceutical (Hainan) Co., Ltd., or Qilu), each advising that they had submitted an ANDA to the FDA seeking authorization from the FDA to manufacture, use or sell a generic version of EXPAREL in the U.S. Each letter alleged that EXPAREL patents listed in the FDA’s </w:t>
      </w:r>
      <w:r>
        <w:rPr>
          <w:rFonts w:ascii="Times New Roman;serif" w:hAnsi="Times New Roman;serif"/>
          <w:b w:val="false"/>
          <w:i/>
          <w:color w:val="000000"/>
          <w:sz w:val="20"/>
        </w:rPr>
        <w:t>Approved Drug Products with Therapeutic Equivalence Evaluations</w:t>
      </w:r>
      <w:r>
        <w:rPr>
          <w:color w:val="000000"/>
        </w:rPr>
        <w:t xml:space="preserve"> </w:t>
      </w:r>
      <w:r>
        <w:rPr>
          <w:rFonts w:ascii="Times New Roman;serif" w:hAnsi="Times New Roman;serif"/>
          <w:b w:val="false"/>
          <w:color w:val="000000"/>
          <w:sz w:val="20"/>
        </w:rPr>
        <w:t xml:space="preserve">(the “Orange Book”) are not valid, not enforceable, and/or will not be infringed by the commercial manufacture, use or sale of the proposed products described in these ANDA submissions. </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 is currently assessing these notification letters and has 45 days from the applicable date of receipt to commence patent infringement lawsuits against these generic challengers if it believes they are infringing its intellectual property. In the event that the Company files one or more patent infringement lawsuit(s), the FDA would enter a 30-month stay of final approval of the ANDA(s). The Company intends to vigorously defend its intellectual property rights relating to EXPAREL.</w:t>
      </w:r>
    </w:p>
    <w:p>
      <w:pPr>
        <w:pStyle w:val="TextBody"/>
        <w:bidi w:val="0"/>
        <w:spacing w:lineRule="auto" w:line="288" w:before="180" w:after="180"/>
        <w:jc w:val="left"/>
        <w:rPr>
          <w:rFonts w:ascii="Times New Roman;serif" w:hAnsi="Times New Roman;serif"/>
          <w:b w:val="false"/>
          <w:i/>
          <w:color w:val="000000"/>
          <w:sz w:val="20"/>
        </w:rPr>
      </w:pPr>
      <w:r>
        <w:rPr>
          <w:rFonts w:ascii="Times New Roman;serif" w:hAnsi="Times New Roman;serif"/>
          <w:b w:val="false"/>
          <w:i/>
          <w:color w:val="000000"/>
          <w:sz w:val="20"/>
        </w:rPr>
        <w:t>Argentum Request for Ex Parte Reexamination of ‘495 Patent</w:t>
      </w:r>
    </w:p>
    <w:p>
      <w:pPr>
        <w:pStyle w:val="TextBody"/>
        <w:bidi w:val="0"/>
        <w:spacing w:lineRule="auto" w:line="288" w:before="0" w:after="0"/>
        <w:ind w:left="0" w:right="0" w:firstLine="450"/>
        <w:jc w:val="left"/>
        <w:rPr/>
      </w:pPr>
      <w:r>
        <w:rPr>
          <w:rFonts w:ascii="Times New Roman;serif" w:hAnsi="Times New Roman;serif"/>
          <w:b w:val="false"/>
          <w:color w:val="000000"/>
          <w:sz w:val="20"/>
        </w:rPr>
        <w:t xml:space="preserve">On October 3, 2024, Argentum Pharmaceuticals LLC, or Argentum, filed a Request for Ex Parte Reexamination of the ‘495 patent. Specifically, Argentum alleged that claims 1, 7 and 8 of the ‘495 patent are obvious and cite to U.S. Patent No. 9,585,838 (the ‘838 patent) and the </w:t>
      </w:r>
      <w:r>
        <w:rPr>
          <w:rFonts w:ascii="Times New Roman;serif" w:hAnsi="Times New Roman;serif"/>
          <w:b w:val="false"/>
          <w:i/>
          <w:color w:val="000000"/>
          <w:sz w:val="20"/>
        </w:rPr>
        <w:t>Physician’s Desk Reference</w:t>
      </w:r>
      <w:r>
        <w:rPr>
          <w:color w:val="000000"/>
        </w:rPr>
        <w:t xml:space="preserve"> </w:t>
      </w:r>
      <w:r>
        <w:rPr>
          <w:rFonts w:ascii="Times New Roman;serif" w:hAnsi="Times New Roman;serif"/>
          <w:b w:val="false"/>
          <w:color w:val="000000"/>
          <w:sz w:val="20"/>
        </w:rPr>
        <w:t>in support of its allegation. In response, the Company submitted rebuttal evidence, certain claim amendments, and new claims. Claim 7 was withdrawn from the reexamination due to the finality of the judgment in the eVenus litigation, and claim 1 was canceled. The USPTO agreed with the Company’s position and issued a Reexamination Certificate in August 2025.</w:t>
      </w:r>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Securities Class Action</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On January 13, 2025, Leandro Alvarez filed a putative class action on behalf of Company shareholders between August 2, 2023 and August 8, 2024 against the Company and certain of its officers, in the District Court of New Jersey (25-cv-322). The complaint alleges that the Company made materially false and misleading statements and/or concealed material adverse facts concerning EXPAREL patents. The case is in the pleadings stage and the Company is unable to predict the outcome of this litigation at this time.</w:t>
      </w:r>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Shareholder Derivative Action</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On June 16, 2025, a Shareholder Derivative suit, Young v. Lee, et al, was filed in the District of New Jersey (25-cv-11841). The complaint alleges that certain officers and members of the Company’s board of directors breached their fiduciary duties by making materially false and misleading statements and/or concealed material adverse facts concerning EXPAREL patents. The case is in the pleadings stage and the Company is unable to predict the outcome of this litigation at this time.</w:t>
      </w:r>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Research Development Foundation</w:t>
      </w:r>
    </w:p>
    <w:p>
      <w:pPr>
        <w:pStyle w:val="TextBody"/>
        <w:bidi w:val="0"/>
        <w:spacing w:lineRule="auto" w:line="288" w:before="18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an agreement with the Research Development Foundation, or RDF, the Company was required to pay RDF a low single-digit royalty on the collection of revenues from certain products for as long as certain patents assigned to the Company under the agreement remain valid. RDF has the right to terminate the agreement for an uncured material breach by the Company, in connection with its bankruptcy or insolvency or if it directly or indirectly opposes or disputes the validity of the assigned patent rights. The Company’s ‘495 patent was issued on June 15, 2021. Thereafter, RDF asserted that the issuance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75260"/>
                <wp:effectExtent l="0" t="0" r="0" b="0"/>
                <wp:wrapNone/>
                <wp:docPr id="35" name="Frame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Q3 </w:t>
                            </w:r>
                            <w:r>
                              <w:rPr>
                                <w:rFonts w:ascii="Times New Roman;serif" w:hAnsi="Times New Roman;serif"/>
                                <w:b w:val="false"/>
                                <w:color w:val="000000"/>
                                <w:sz w:val="20"/>
                              </w:rPr>
                              <w:t>2025</w:t>
                            </w:r>
                            <w:r>
                              <w:rPr>
                                <w:color w:val="000000"/>
                              </w:rPr>
                              <w:t xml:space="preserve"> </w:t>
                            </w:r>
                            <w:r>
                              <w:rPr>
                                <w:rFonts w:ascii="Times New Roman;serif" w:hAnsi="Times New Roman;serif"/>
                                <w:b w:val="false"/>
                                <w:color w:val="000000"/>
                                <w:sz w:val="19"/>
                              </w:rPr>
                              <w:t>Form 10-Q | 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Q3 </w:t>
                      </w:r>
                      <w:r>
                        <w:rPr>
                          <w:rFonts w:ascii="Times New Roman;serif" w:hAnsi="Times New Roman;serif"/>
                          <w:b w:val="false"/>
                          <w:color w:val="000000"/>
                          <w:sz w:val="20"/>
                        </w:rPr>
                        <w:t>2025</w:t>
                      </w:r>
                      <w:r>
                        <w:rPr>
                          <w:color w:val="000000"/>
                        </w:rPr>
                        <w:t xml:space="preserve"> </w:t>
                      </w:r>
                      <w:r>
                        <w:rPr>
                          <w:rFonts w:ascii="Times New Roman;serif" w:hAnsi="Times New Roman;serif"/>
                          <w:b w:val="false"/>
                          <w:color w:val="000000"/>
                          <w:sz w:val="19"/>
                        </w:rPr>
                        <w:t>Form 10-Q | 33</w:t>
                      </w:r>
                    </w:p>
                  </w:txbxContent>
                </v:textbox>
                <w10:wrap type="none"/>
              </v:rect>
            </w:pict>
          </mc:Fallback>
        </mc:AlternateContent>
      </w:r>
    </w:p>
    <w:p>
      <w:pPr>
        <w:pStyle w:val="TextBody"/>
        <w:bidi w:val="0"/>
        <w:spacing w:lineRule="auto" w:line="288" w:before="0" w:after="0"/>
        <w:jc w:val="left"/>
        <w:rPr/>
      </w:pPr>
      <w:hyperlink w:anchor="i004be9cfd92c48c78448e0b03d16957e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160"/>
        <w:jc w:val="left"/>
        <w:rPr>
          <w:rFonts w:ascii="Times New Roman;serif" w:hAnsi="Times New Roman;serif"/>
          <w:b w:val="false"/>
          <w:color w:val="000000"/>
          <w:sz w:val="20"/>
        </w:rPr>
      </w:pPr>
      <w:r>
        <w:rPr>
          <w:rFonts w:ascii="Times New Roman;serif" w:hAnsi="Times New Roman;serif"/>
          <w:b w:val="false"/>
          <w:color w:val="000000"/>
          <w:sz w:val="20"/>
        </w:rPr>
        <w:t>of that patent extends the Company’s royalty obligations under the agreement until 2041. The Company believes that the royalty period under the agreement ended on December 24, 2021 with the expiration of the ‘838 patent. Because of the disagreement over the interpretation of the agreement, in December 2021, the Company filed a declaratory judgment lawsuit in the U.S. District Court for the District of Nevada (21-cv-02241). The lawsuit sought a declaration from the court that the Company owed no royalties to RDF with respect to its EXPAREL product after December 24, 2021.</w:t>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In August 2023, the U.S. District Court, District of Nevada granted the Company’s motion for partial summary judgment in respect to the Company’s claim for a declaration that it no longer owes royalties for EXPAREL made under its 45-liter batch manufacturing process as of December 24, 2021. A trial as to whether royalties were owed on EXPAREL made under the Company’s enhanced, larger-scale manufacturing process was conducted in September 2024. In April 2025, the Court issued judgment in favor of the Company. As a result, the low single-digit royalty that the Company had been paying RDF is eliminated, and the Company sought repayment of up to $23.1 million, plus interest, from RDF, representing the royalties that the Company paid to RDF under protest on the collection of revenues of EXPAREL that occurred after December 24, 2021. </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June 2025, the U.S. District Court for the District of Nevada issued judgment in favor of the company declaring that RDF is required to repay Pacira $23.1 million in royalties on EXPAREL sales that were previously paid under protest. The Nevada Court also awarded Pacira an additional interest payment of $5.2 million in statutory interest on the royalties paid under protest. In July 2025, the Company received a $28.3 million cash payment for which $23.1 million was recorded within contingent consideration charges (gains), acquisition-related expenses, restructuring and other and $5.2 million was recorded within interest income in the nine months ended September 30, 2025 in the Company’s condensed consolidated statements of operations. In May and September 2025, RDF filed two notices of appeal which are pending.</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Other Commitments and Contingencies</w:t>
      </w:r>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Johnson &amp; Johnson MedTech</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In July 2025, the Company entered into a co-promotion agreement (the “J&amp;J Agreement”), with Johnson &amp; Johnson MedTech, or J&amp;J MedTech, to market and promote the use of ZILRETTA for OA knee pain in the U.S. J&amp;J MedTech’s specialized early intervention sales force will extend the reach of ZILRETTA beyond orthopedic practices, into multiple new physician specialties, including sports medicine, osteopathy, pain management and rheumatology. </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Under the J&amp;J Agreement, J&amp;J MedTech is the exclusive third-party co-promoter for ZILRETTA in the U.S. The initial term of the J&amp;J Agreement extends through 2031 with an option to extend under mutual agreement.</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 will continue to recognize all revenue from sales of ZILRETTA. As compensation for its promotional efforts, for the first 12 months of the J&amp;J Agreement the Company will pay J&amp;J MedTech a minimum monthly commission. For the remaining term of the agreement, Pacira will pay a tier-based commission with higher commission percentages earned at higher annual ZILRETTA sales levels. J&amp;J MedTech will receive a tiered commission ranging from low single digits to double digits.</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 and J&amp;J MedTech have mutual termination rights under the J&amp;J Agreement, subject to certain terms, conditions and advance notice requirements, provided that the Company or J&amp;J MedTech generally may not terminate the J&amp;J Agreement, without cause, within one year of the effective date of the J&amp;J Agreement. The Company also has additional unilateral termination rights under certain circumstances. The J&amp;J Agreement contains customary representations, warranties, covenants and confidentiality provisions, as well as mutual indemnification obligations. J&amp;J MedTech is also subject to certain obligations and restrictions, including required compliance with certain laws and regulations and the Company’s policies, in connection with fulfilling their obligations under the J&amp;J Agreement.</w:t>
      </w:r>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Pediatric Trial Commitments</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FDA, as a condition of EXPAREL approval, has required the Company to study EXPAREL for infiltration and as a brachial plexus block in pediatric patients. The Company was granted deferrals for the required pediatric trials until after the indications were approved in adults. Similarly, in Europe, the Company agreed with the European Medicines Agency, or EMA, on a Pediatric Investigation Plan as a prerequisite for submitting a Marketing Authorization Application (MAA) in the E.U. Despite the U.K.’s withdrawal from the E.U., the agreed pediatric plan is applicable in the U.K.</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 has received notification from both the FDA and EMA that its pediatric studies requirement had been waived for the indications of brachial plexus interscalene nerve block, lower extremity nerve block, sciatic nerve block in the popliteal fossa and adductor canal block indications to produce postsurgical regional analgesia in pediatric patients. The Company is still working with the FDA, EMA and Medicines and Healthcare Regulatory Agency (MHRA) to finalize the regulatory pathways for its remaining pediatric commitments.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75260"/>
                <wp:effectExtent l="0" t="0" r="0" b="0"/>
                <wp:wrapNone/>
                <wp:docPr id="36" name="Frame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Q3 </w:t>
                            </w:r>
                            <w:r>
                              <w:rPr>
                                <w:rFonts w:ascii="Times New Roman;serif" w:hAnsi="Times New Roman;serif"/>
                                <w:b w:val="false"/>
                                <w:color w:val="000000"/>
                                <w:sz w:val="20"/>
                              </w:rPr>
                              <w:t>2025</w:t>
                            </w:r>
                            <w:r>
                              <w:rPr>
                                <w:color w:val="000000"/>
                              </w:rPr>
                              <w:t xml:space="preserve"> </w:t>
                            </w:r>
                            <w:r>
                              <w:rPr>
                                <w:rFonts w:ascii="Times New Roman;serif" w:hAnsi="Times New Roman;serif"/>
                                <w:b w:val="false"/>
                                <w:color w:val="000000"/>
                                <w:sz w:val="19"/>
                              </w:rPr>
                              <w:t>Form 10-Q | 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Q3 </w:t>
                      </w:r>
                      <w:r>
                        <w:rPr>
                          <w:rFonts w:ascii="Times New Roman;serif" w:hAnsi="Times New Roman;serif"/>
                          <w:b w:val="false"/>
                          <w:color w:val="000000"/>
                          <w:sz w:val="20"/>
                        </w:rPr>
                        <w:t>2025</w:t>
                      </w:r>
                      <w:r>
                        <w:rPr>
                          <w:color w:val="000000"/>
                        </w:rPr>
                        <w:t xml:space="preserve"> </w:t>
                      </w:r>
                      <w:r>
                        <w:rPr>
                          <w:rFonts w:ascii="Times New Roman;serif" w:hAnsi="Times New Roman;serif"/>
                          <w:b w:val="false"/>
                          <w:color w:val="000000"/>
                          <w:sz w:val="19"/>
                        </w:rPr>
                        <w:t>Form 10-Q | 34</w:t>
                      </w:r>
                    </w:p>
                  </w:txbxContent>
                </v:textbox>
                <w10:wrap type="none"/>
              </v:rect>
            </w:pict>
          </mc:Fallback>
        </mc:AlternateContent>
      </w:r>
    </w:p>
    <w:p>
      <w:pPr>
        <w:pStyle w:val="TextBody"/>
        <w:bidi w:val="0"/>
        <w:spacing w:lineRule="auto" w:line="288" w:before="0" w:after="0"/>
        <w:jc w:val="left"/>
        <w:rPr/>
      </w:pPr>
      <w:hyperlink w:anchor="i004be9cfd92c48c78448e0b03d16957e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 has successfully completed Part 1 of a pediatric study in children aged two to less than six years of age and has initiated enrollment for Part 2 of the study in children aged six months to less than two years of age using the same dosage that was utilized in Part 1.</w:t>
      </w:r>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Contingent Milestone Payments</w:t>
      </w:r>
    </w:p>
    <w:p>
      <w:pPr>
        <w:pStyle w:val="TextBody"/>
        <w:bidi w:val="0"/>
        <w:spacing w:lineRule="auto" w:line="288" w:before="180" w:after="283"/>
        <w:ind w:left="0" w:right="0" w:firstLine="450"/>
        <w:jc w:val="left"/>
        <w:rPr/>
      </w:pPr>
      <w:r>
        <w:rPr>
          <w:rFonts w:ascii="Times New Roman;serif" w:hAnsi="Times New Roman;serif"/>
          <w:b w:val="false"/>
          <w:color w:val="000000"/>
          <w:sz w:val="20"/>
        </w:rPr>
        <w:t>Refer to Note 10,</w:t>
      </w:r>
      <w:r>
        <w:rPr>
          <w:color w:val="000000"/>
        </w:rPr>
        <w:t xml:space="preserve"> </w:t>
      </w:r>
      <w:r>
        <w:rPr>
          <w:rFonts w:ascii="Times New Roman;serif" w:hAnsi="Times New Roman;serif"/>
          <w:b w:val="false"/>
          <w:i/>
          <w:color w:val="000000"/>
          <w:sz w:val="20"/>
        </w:rPr>
        <w:t>Financial Instruments</w:t>
      </w:r>
      <w:r>
        <w:rPr>
          <w:rFonts w:ascii="Times New Roman;serif" w:hAnsi="Times New Roman;serif"/>
          <w:b w:val="false"/>
          <w:color w:val="000000"/>
          <w:sz w:val="20"/>
        </w:rPr>
        <w:t>, for information on potential contingent milestone payments related to the Flexion Acquisition.</w:t>
      </w:r>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PCRX-201</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PCRX-201 (enekinragene inzadenovec) is a novel, locally administered gene therapy vector platform product candidate that boosts cellular production of the anti-inflammatory protein interleukin-1 receptor antagonist (IL-1Ra) for treating OA pain in the knee and was added to the Company’s portfolio as part of the Flexion Acquisition in November 2021. </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In 2017, in an agreement between The Baylor College of Medicine, or BCM, and GQ Bio, the Company (through the Flexion Acquisition) became the direct licensee of certain underlying BCM patents and other proprietary rights related to PCRX-201. The license agreement grants the Company an exclusive, royalty-bearing, world-wide right and license under its patent and other proprietary rights directly related to PCRX-201. The license agreement with BCM includes a low single-digit royalty on net product sales of PCRX-201. Milestone payments range from $0.1 million up to $0.6 million based on the completion of a Phase 1 FDA trial up to a Phase 3 clinical trial. </w:t>
      </w:r>
    </w:p>
    <w:p>
      <w:pPr>
        <w:pStyle w:val="TextBody"/>
        <w:bidi w:val="0"/>
        <w:spacing w:lineRule="auto" w:line="288"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February 2024, the FDA granted a Regenerative Medicine Advanced Therapy (RMAT) designation to PCRX-201 for the treatment of OA pain of the knee.</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Purchase Obligations</w:t>
      </w:r>
    </w:p>
    <w:p>
      <w:pPr>
        <w:pStyle w:val="TextBody"/>
        <w:bidi w:val="0"/>
        <w:spacing w:lineRule="auto" w:line="288"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September 2025, the Company entered into a non-cancelable contractual commitment of approximately $2.4 million for the remaining three months of 2025 and $5.5 million in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5260"/>
                <wp:effectExtent l="0" t="0" r="0" b="0"/>
                <wp:wrapNone/>
                <wp:docPr id="37" name="Frame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Q3 </w:t>
                            </w:r>
                            <w:r>
                              <w:rPr>
                                <w:rFonts w:ascii="Times New Roman;serif" w:hAnsi="Times New Roman;serif"/>
                                <w:b w:val="false"/>
                                <w:color w:val="000000"/>
                                <w:sz w:val="20"/>
                              </w:rPr>
                              <w:t>2025</w:t>
                            </w:r>
                            <w:r>
                              <w:rPr>
                                <w:color w:val="000000"/>
                              </w:rPr>
                              <w:t xml:space="preserve"> </w:t>
                            </w:r>
                            <w:r>
                              <w:rPr>
                                <w:rFonts w:ascii="Times New Roman;serif" w:hAnsi="Times New Roman;serif"/>
                                <w:b w:val="false"/>
                                <w:color w:val="000000"/>
                                <w:sz w:val="19"/>
                              </w:rPr>
                              <w:t>Form 10-Q | 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Q3 </w:t>
                      </w:r>
                      <w:r>
                        <w:rPr>
                          <w:rFonts w:ascii="Times New Roman;serif" w:hAnsi="Times New Roman;serif"/>
                          <w:b w:val="false"/>
                          <w:color w:val="000000"/>
                          <w:sz w:val="20"/>
                        </w:rPr>
                        <w:t>2025</w:t>
                      </w:r>
                      <w:r>
                        <w:rPr>
                          <w:color w:val="000000"/>
                        </w:rPr>
                        <w:t xml:space="preserve"> </w:t>
                      </w:r>
                      <w:r>
                        <w:rPr>
                          <w:rFonts w:ascii="Times New Roman;serif" w:hAnsi="Times New Roman;serif"/>
                          <w:b w:val="false"/>
                          <w:color w:val="000000"/>
                          <w:sz w:val="19"/>
                        </w:rPr>
                        <w:t>Form 10-Q | 35</w:t>
                      </w:r>
                    </w:p>
                  </w:txbxContent>
                </v:textbox>
                <w10:wrap type="none"/>
              </v:rect>
            </w:pict>
          </mc:Fallback>
        </mc:AlternateContent>
      </w:r>
    </w:p>
    <w:p>
      <w:pPr>
        <w:pStyle w:val="TextBody"/>
        <w:bidi w:val="0"/>
        <w:spacing w:lineRule="auto" w:line="288" w:before="0" w:after="0"/>
        <w:jc w:val="left"/>
        <w:rPr/>
      </w:pPr>
      <w:hyperlink w:anchor="i004be9cfd92c48c78448e0b03d16957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17—SEGMENT INFORMATION</w:t>
      </w:r>
    </w:p>
    <w:p>
      <w:pPr>
        <w:pStyle w:val="TextBody"/>
        <w:bidi w:val="0"/>
        <w:spacing w:lineRule="auto" w:line="288"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 is managed and operated as a single business focused on the development, manufacture, marketing, distribution and sale of non-opioid pain therapies. The Company is managed by a single management team, and consistent with its organizational structure, the Chief Executive Officer—who is the Company’s chief operating decision maker, or CODM—manages and allocates resources at a consolidated level. Accordingly, the Company views its business as one operating segment and one reportable segment to evaluate its performance, allocate resources, set operational targets and forecast its future financial results.</w:t>
      </w:r>
    </w:p>
    <w:p>
      <w:pPr>
        <w:pStyle w:val="TextBody"/>
        <w:bidi w:val="0"/>
        <w:spacing w:lineRule="auto" w:line="288"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key measure of the Company is GAAP net income. The CODM uses this measure to evaluate its performance, allocate resources, set operational targets and forecast its future financial results.</w:t>
      </w:r>
    </w:p>
    <w:p>
      <w:pPr>
        <w:pStyle w:val="TextBody"/>
        <w:bidi w:val="0"/>
        <w:spacing w:lineRule="auto" w:line="288" w:before="10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There are significant expense categories and amounts that are regularly provided to the CODM. These expense categories differ from what is disclosed in the Company’s financial results. The table below reconciles the significant expense categories provided to the CODM to the Company’s expenses as disclosed under GAAP (in thousands):</w:t>
      </w:r>
    </w:p>
    <w:tbl>
      <w:tblPr>
        <w:tblW w:w="10199" w:type="dxa"/>
        <w:jc w:val="left"/>
        <w:tblInd w:w="0" w:type="dxa"/>
        <w:tblLayout w:type="fixed"/>
        <w:tblCellMar>
          <w:top w:w="28" w:type="dxa"/>
          <w:left w:w="28" w:type="dxa"/>
          <w:bottom w:w="28" w:type="dxa"/>
          <w:right w:w="28" w:type="dxa"/>
        </w:tblCellMar>
      </w:tblPr>
      <w:tblGrid>
        <w:gridCol w:w="1610"/>
        <w:gridCol w:w="1410"/>
        <w:gridCol w:w="1419"/>
        <w:gridCol w:w="211"/>
        <w:gridCol w:w="826"/>
        <w:gridCol w:w="109"/>
        <w:gridCol w:w="109"/>
        <w:gridCol w:w="109"/>
        <w:gridCol w:w="109"/>
        <w:gridCol w:w="211"/>
        <w:gridCol w:w="901"/>
        <w:gridCol w:w="109"/>
        <w:gridCol w:w="109"/>
        <w:gridCol w:w="109"/>
        <w:gridCol w:w="109"/>
        <w:gridCol w:w="211"/>
        <w:gridCol w:w="826"/>
        <w:gridCol w:w="109"/>
        <w:gridCol w:w="109"/>
        <w:gridCol w:w="109"/>
        <w:gridCol w:w="109"/>
        <w:gridCol w:w="211"/>
        <w:gridCol w:w="901"/>
        <w:gridCol w:w="154"/>
      </w:tblGrid>
      <w:tr>
        <w:trPr/>
        <w:tc>
          <w:tcPr>
            <w:tcW w:w="1610" w:type="dxa"/>
            <w:tcBorders/>
            <w:vAlign w:val="center"/>
          </w:tcPr>
          <w:p>
            <w:pPr>
              <w:pStyle w:val="TableContents"/>
              <w:bidi w:val="0"/>
              <w:spacing w:before="0" w:after="283"/>
              <w:jc w:val="left"/>
              <w:rPr>
                <w:sz w:val="4"/>
                <w:szCs w:val="4"/>
              </w:rPr>
            </w:pPr>
            <w:r>
              <w:rPr>
                <w:sz w:val="4"/>
                <w:szCs w:val="4"/>
              </w:rPr>
            </w:r>
          </w:p>
        </w:tc>
        <w:tc>
          <w:tcPr>
            <w:tcW w:w="1410" w:type="dxa"/>
            <w:tcBorders/>
            <w:vAlign w:val="center"/>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w:t>
              <w:br/>
              <w:t>September 30,</w:t>
            </w:r>
          </w:p>
        </w:tc>
      </w:tr>
      <w:tr>
        <w:trPr/>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179,516 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168,573 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529,538 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513,713 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cost of goods sold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98,025 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126,646 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research and development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selling and marketing</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165,006 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121,673 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general and administrative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impairment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163,243 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163,243 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acquired intangible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the fair value of contingent consideration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Legal settlement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Legal judgment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of acquired IPR&amp;D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173,154 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308,100 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512,687 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611,788 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other income (expense), net</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9,443 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before income taxes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(138,856)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(88,632)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(26,969)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(143,466)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(115,601)</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80"/>
        <w:ind w:left="0" w:right="0" w:firstLine="450"/>
        <w:jc w:val="left"/>
        <w:rPr/>
      </w:pPr>
      <w:r>
        <w:rPr>
          <w:rFonts w:ascii="Times New Roman;serif" w:hAnsi="Times New Roman;serif"/>
          <w:b w:val="false"/>
          <w:color w:val="000000"/>
          <w:sz w:val="20"/>
        </w:rPr>
        <w:t xml:space="preserve">For information on the Company’s fixed assets located outside of the U.S., refer to Note 6, </w:t>
      </w:r>
      <w:r>
        <w:rPr>
          <w:rFonts w:ascii="Times New Roman;serif" w:hAnsi="Times New Roman;serif"/>
          <w:b w:val="false"/>
          <w:i/>
          <w:color w:val="000000"/>
          <w:sz w:val="20"/>
        </w:rPr>
        <w:t>Fixed Assets</w:t>
      </w:r>
      <w:r>
        <w:rPr>
          <w:rFonts w:ascii="Times New Roman;serif" w:hAnsi="Times New Roman;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NOTE 18—SUBSEQUENT EVENTS</w:t>
      </w:r>
    </w:p>
    <w:p>
      <w:pPr>
        <w:pStyle w:val="TextBody"/>
        <w:bidi w:val="0"/>
        <w:spacing w:lineRule="auto" w:line="288" w:before="180" w:after="10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November 2025, the Company and AmacaThera, Inc., or AmacaThera, a clinical-stage biotechnology company specializing in drug delivery, announced an exclusive worldwide license agreement for the development and commercialization of AMT-143, a long-acting formulation of the non-opioid analgesic ropivacaine for postsurgical pain. In a Phase 1 study, AMT-143 demonstrated sustained release of ropivacaine through 14 days. The Company and AmacaThera expect to initiate a Phase 2 program in 2026. Under the terms of the agreement, AmacaThera will receive an upfront payment of $5.0 million with the potential for future development- and sales-based milestone payments and a tiered royalty on future net product sales.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38" name="Frame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Q3 </w:t>
                            </w:r>
                            <w:r>
                              <w:rPr>
                                <w:rFonts w:ascii="Times New Roman;serif" w:hAnsi="Times New Roman;serif"/>
                                <w:b w:val="false"/>
                                <w:color w:val="000000"/>
                                <w:sz w:val="20"/>
                              </w:rPr>
                              <w:t>2025</w:t>
                            </w:r>
                            <w:r>
                              <w:rPr>
                                <w:color w:val="000000"/>
                              </w:rPr>
                              <w:t xml:space="preserve"> </w:t>
                            </w:r>
                            <w:r>
                              <w:rPr>
                                <w:rFonts w:ascii="Times New Roman;serif" w:hAnsi="Times New Roman;serif"/>
                                <w:b w:val="false"/>
                                <w:color w:val="000000"/>
                                <w:sz w:val="19"/>
                              </w:rPr>
                              <w:t>Form 10-Q | 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Q3 </w:t>
                      </w:r>
                      <w:r>
                        <w:rPr>
                          <w:rFonts w:ascii="Times New Roman;serif" w:hAnsi="Times New Roman;serif"/>
                          <w:b w:val="false"/>
                          <w:color w:val="000000"/>
                          <w:sz w:val="20"/>
                        </w:rPr>
                        <w:t>2025</w:t>
                      </w:r>
                      <w:r>
                        <w:rPr>
                          <w:color w:val="000000"/>
                        </w:rPr>
                        <w:t xml:space="preserve"> </w:t>
                      </w:r>
                      <w:r>
                        <w:rPr>
                          <w:rFonts w:ascii="Times New Roman;serif" w:hAnsi="Times New Roman;serif"/>
                          <w:b w:val="false"/>
                          <w:color w:val="000000"/>
                          <w:sz w:val="19"/>
                        </w:rPr>
                        <w:t>Form 10-Q | 36</w:t>
                      </w:r>
                    </w:p>
                  </w:txbxContent>
                </v:textbox>
                <w10:wrap type="none"/>
              </v:rect>
            </w:pict>
          </mc:Fallback>
        </mc:AlternateContent>
      </w:r>
    </w:p>
    <w:p>
      <w:pPr>
        <w:pStyle w:val="TextBody"/>
        <w:bidi w:val="0"/>
        <w:spacing w:lineRule="auto" w:line="288" w:before="0" w:after="0"/>
        <w:jc w:val="left"/>
        <w:rPr/>
      </w:pPr>
      <w:hyperlink w:anchor="i004be9cfd92c48c78448e0b03d16957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pPr>
      <w:r>
        <w:rPr>
          <w:rFonts w:ascii="Times New Roman;serif" w:hAnsi="Times New Roman;serif"/>
          <w:b/>
          <w:color w:val="000000"/>
          <w:sz w:val="20"/>
        </w:rPr>
        <w:t xml:space="preserve">Item 2. </w:t>
      </w:r>
      <w:r>
        <w:rPr>
          <w:rFonts w:ascii="Times New Roman;serif" w:hAnsi="Times New Roman;serif"/>
          <w:b/>
          <w:i/>
          <w:color w:val="000000"/>
          <w:sz w:val="20"/>
        </w:rPr>
        <w:t>MANAGEMENT</w:t>
      </w:r>
      <w:r>
        <w:rPr>
          <w:color w:val="000000"/>
        </w:rPr>
        <w:t>’</w:t>
      </w:r>
      <w:r>
        <w:rPr>
          <w:rFonts w:ascii="Times New Roman;serif" w:hAnsi="Times New Roman;serif"/>
          <w:b/>
          <w:i/>
          <w:color w:val="000000"/>
          <w:sz w:val="20"/>
        </w:rPr>
        <w:t>S DISCUSSION AND ANALYSIS OF FINANCIAL CONDITION AND RESULTS OF OPERATIONS</w:t>
      </w:r>
    </w:p>
    <w:p>
      <w:pPr>
        <w:pStyle w:val="TextBody"/>
        <w:bidi w:val="0"/>
        <w:spacing w:before="0" w:after="0"/>
        <w:jc w:val="left"/>
        <w:rPr/>
      </w:pPr>
      <w:r>
        <w:rPr/>
      </w:r>
    </w:p>
    <w:p>
      <w:pPr>
        <w:pStyle w:val="TextBody"/>
        <w:bidi w:val="0"/>
        <w:spacing w:lineRule="auto" w:line="288" w:before="0" w:after="200"/>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Management’s Discussion and Analysis of Financial Condition and Results of Operations is based upon our condensed consolidated financial statements, which have been prepared in accordance with generally accepted accounting principles in the United States of America (GAAP) and in accordance with the rules and regulations of the United States Securities and Exchange Commission, or SEC.</w:t>
      </w:r>
    </w:p>
    <w:p>
      <w:pPr>
        <w:pStyle w:val="TextBody"/>
        <w:bidi w:val="0"/>
        <w:spacing w:lineRule="auto" w:line="288" w:before="0" w:after="0"/>
        <w:ind w:left="0" w:right="0" w:firstLine="450"/>
        <w:jc w:val="left"/>
        <w:rPr/>
      </w:pPr>
      <w:r>
        <w:rPr>
          <w:rFonts w:ascii="Times New Roman;serif" w:hAnsi="Times New Roman;serif"/>
          <w:b w:val="false"/>
          <w:i/>
          <w:color w:val="000000"/>
          <w:sz w:val="20"/>
        </w:rPr>
        <w:t>This Quarterly Report on Form 10-Q and certain other communications made by us contain forward-looking statements within the meaning of Section 21E of the Securities Exchange Act of 1934, as amended (the “Exchange Act”), and the Private Securities Litigation Reform Act of 1995, including, without limitation, statements related to: '5x30', our growth and business strategy, our future outlook, the strength and efficacy of our intellectual property protection and patent terms, our future growth potential and future financial and operating results and trends, our plans, objectives, expectations (financial or otherwise) and intentions, including our plans with respect to the repayment of our indebtedness, anticipated product portfolio and product development programs, strategic alliances, plans with respect to the Non-Opioids Prevent Addiction in the Nation (“NOPAIN”) Act, the expected cost savings and benefits of a July 2025 reduction in force and any other statements that are not historical facts. For this purpose, any statement that is not a statement of historical fact should be considered a forward-looking statement. We often use the words “anticipate,” “believe,” “can,” “could,” “estimate,” “expect,” “intend,” “may,” “plan,” “project,” “should,” “will,” “would” and similar expressions to help identify forward-looking statements. We cannot assure you that our estimates, assumptions and expectations will prove to have been correct. Actual results may differ materially from these indicated by such forward-looking statements as a result of various important factors, including risks relating to, among others: the failure to realize the anticipated benefits and synergies from the acquisition of GQ Bio Therapeutics GmbH; risks associated with acquisitions, such as the risk that the businesses will not be integrated successfully, that such integration may be more difficult, time-consuming or costly than expected or that the expected benefits of the transaction will not occur; our manufacturing and supply chain, global and United States, or U.S., economic conditions (including tariffs, inflation and rising interest rates), and our business, including our revenues, financial condition, cash flows and results of operations; the success of our sales and manufacturing efforts in support of the commercialization of EXPAREL</w:t>
      </w:r>
      <w:r>
        <w:rPr>
          <w:rFonts w:ascii="Times New Roman;serif" w:hAnsi="Times New Roman;serif"/>
          <w:b w:val="false"/>
          <w:i/>
          <w:color w:val="000000"/>
          <w:sz w:val="13"/>
        </w:rPr>
        <w:t>®</w:t>
      </w:r>
      <w:r>
        <w:rPr>
          <w:color w:val="000000"/>
        </w:rPr>
        <w:t xml:space="preserve"> </w:t>
      </w:r>
      <w:r>
        <w:rPr>
          <w:rFonts w:ascii="Times New Roman;serif" w:hAnsi="Times New Roman;serif"/>
          <w:b w:val="false"/>
          <w:i/>
          <w:color w:val="000000"/>
          <w:sz w:val="20"/>
        </w:rPr>
        <w:t>(bupivacaine liposome injectable suspension), ZILRETTA</w:t>
      </w:r>
      <w:r>
        <w:rPr>
          <w:rFonts w:ascii="Times New Roman;serif" w:hAnsi="Times New Roman;serif"/>
          <w:b w:val="false"/>
          <w:i/>
          <w:color w:val="000000"/>
          <w:sz w:val="13"/>
        </w:rPr>
        <w:t>®</w:t>
      </w:r>
      <w:r>
        <w:rPr>
          <w:color w:val="000000"/>
        </w:rPr>
        <w:t xml:space="preserve"> </w:t>
      </w:r>
      <w:r>
        <w:rPr>
          <w:rFonts w:ascii="Times New Roman;serif" w:hAnsi="Times New Roman;serif"/>
          <w:b w:val="false"/>
          <w:i/>
          <w:color w:val="000000"/>
          <w:sz w:val="20"/>
        </w:rPr>
        <w:t>(triamcinolone acetonide extended-release injectable suspension) and iovera</w:t>
      </w:r>
      <w:r>
        <w:rPr>
          <w:rFonts w:ascii="Times New Roman;serif" w:hAnsi="Times New Roman;serif"/>
          <w:b w:val="false"/>
          <w:i/>
          <w:color w:val="000000"/>
          <w:sz w:val="10"/>
        </w:rPr>
        <w:t>®</w:t>
      </w:r>
      <w:r>
        <w:rPr>
          <w:rFonts w:ascii="Times New Roman;serif" w:hAnsi="Times New Roman;serif"/>
          <w:b w:val="false"/>
          <w:i/>
          <w:color w:val="000000"/>
          <w:sz w:val="20"/>
        </w:rPr>
        <w:t>°; the rate and degree of market acceptance of EXPAREL, ZILRETTA and iovera°; the size and growth of the potential markets for EXPAREL, ZILRETTA and iovera° and our ability to serve those markets; our plans to expand the use of EXPAREL, ZILRETTA and iovera° to additional indications and opportunities, and the timing and success of any related clinical trials for EXPAREL, ZILRETTA, iovera° and any of our other product candidates, including PCRX-201 (enekinragene inzadenovec); the commercial success of EXPAREL, ZILRETTA and iovera°; the related timing and success of U.S. Food and Drug Administration, or FDA, supplemental New Drug Applications, or sNDAs, and premarket notification 510(k)s; the related timing and success of European Medicines Agency, or EMA, Marketing Authorization Applications, or MAAs; our plans to evaluate, develop and pursue additional product candidates utilizing our proprietary multivesicular liposome, or pMVL, drug delivery technology; the approval of the commercialization of our products in other jurisdictions; clinical trials in support of an existing or potential pMVL-based product; our commercialization and marketing capabilities; our ability to successfully complete capital projects; the outcome of any litigation; the recoverability of our deferred tax assets; assumptions associated with contingent consideration payments; assumptions used for estimated future cash flows associated with determining the fair value of the Company and the anticipated funding or benefits of our share repurchase program.</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Important factors could cause our actual results to differ materially from those indicated or implied by forward-looking statements, and as such we anticipate that subsequent events and developments will cause our views to change. Except as required by applicable law, we undertake no intention or obligation to update or revise any forward-looking statements, whether as a result of new information, future events or otherwise, and readers should not rely on the forward-looking statements as representing our views as of any date subsequent to the date of the filing of this Quarterly Report on Form 10-Q.</w:t>
      </w:r>
    </w:p>
    <w:p>
      <w:pPr>
        <w:pStyle w:val="TextBody"/>
        <w:bidi w:val="0"/>
        <w:spacing w:before="0" w:after="0"/>
        <w:jc w:val="left"/>
        <w:rPr/>
      </w:pPr>
      <w:r>
        <w:rPr/>
      </w:r>
    </w:p>
    <w:p>
      <w:pPr>
        <w:pStyle w:val="TextBody"/>
        <w:bidi w:val="0"/>
        <w:spacing w:lineRule="auto" w:line="288" w:before="0" w:after="0"/>
        <w:ind w:left="0" w:right="0" w:firstLine="450"/>
        <w:jc w:val="left"/>
        <w:rPr/>
      </w:pPr>
      <w:r>
        <w:rPr>
          <w:rFonts w:ascii="Times New Roman;serif" w:hAnsi="Times New Roman;serif"/>
          <w:b w:val="false"/>
          <w:i/>
          <w:color w:val="000000"/>
          <w:sz w:val="20"/>
        </w:rPr>
        <w:t xml:space="preserve">These forward-looking statements involve known and unknown risks, uncertainties and other factors that may cause our actual results, levels of activity, performance or achievements to differ materially from those expressed or implied by these statements. These factors include items mentioned herein and the matters discussed and referenced in Part I-Item 1A. “Risk Factors” included in our </w:t>
      </w:r>
      <w:hyperlink r:id="rId4">
        <w:r>
          <w:rPr>
            <w:rStyle w:val="InternetLink"/>
            <w:rFonts w:ascii="Times New Roman;serif" w:hAnsi="Times New Roman;serif"/>
            <w:b w:val="false"/>
            <w:i/>
            <w:color w:val="0000FF"/>
            <w:sz w:val="20"/>
            <w:u w:val="single"/>
          </w:rPr>
          <w:t>Annual Report on Form 10-K for the year ended December 31, 2024</w:t>
        </w:r>
      </w:hyperlink>
      <w:r>
        <w:rPr>
          <w:color w:val="000000"/>
        </w:rPr>
        <w:t xml:space="preserve"> </w:t>
      </w:r>
      <w:r>
        <w:rPr>
          <w:rFonts w:ascii="Times New Roman;serif" w:hAnsi="Times New Roman;serif"/>
          <w:b w:val="false"/>
          <w:i/>
          <w:color w:val="000000"/>
          <w:sz w:val="20"/>
        </w:rPr>
        <w:t>(the “2024 Annual Report”); in Part II. Item 1A in this Quarterly Report on Form 10-Q and in other reports filed with the SEC.</w:t>
      </w:r>
    </w:p>
    <w:p>
      <w:pPr>
        <w:pStyle w:val="TextBody"/>
        <w:bidi w:val="0"/>
        <w:spacing w:before="0" w:after="0"/>
        <w:jc w:val="left"/>
        <w:rPr/>
      </w:pPr>
      <w:r>
        <w:rPr/>
      </w:r>
    </w:p>
    <w:p>
      <w:pPr>
        <w:pStyle w:val="TextBody"/>
        <w:bidi w:val="0"/>
        <w:spacing w:lineRule="auto" w:line="288" w:before="0" w:after="200"/>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Unless the context requires otherwise, references to “Pacira,” the “Company,” the “Registrant,” “our,” “us” and “we” in this Quarterly Report on Form 10-Q refer to Pacira BioSciences, Inc. and its subsidiaries.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39" name="Frame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Q3 </w:t>
                            </w:r>
                            <w:r>
                              <w:rPr>
                                <w:rFonts w:ascii="Times New Roman;serif" w:hAnsi="Times New Roman;serif"/>
                                <w:b w:val="false"/>
                                <w:color w:val="000000"/>
                                <w:sz w:val="20"/>
                              </w:rPr>
                              <w:t>2025</w:t>
                            </w:r>
                            <w:r>
                              <w:rPr>
                                <w:color w:val="000000"/>
                              </w:rPr>
                              <w:t xml:space="preserve"> </w:t>
                            </w:r>
                            <w:r>
                              <w:rPr>
                                <w:rFonts w:ascii="Times New Roman;serif" w:hAnsi="Times New Roman;serif"/>
                                <w:b w:val="false"/>
                                <w:color w:val="000000"/>
                                <w:sz w:val="19"/>
                              </w:rPr>
                              <w:t>Form 10-Q | 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Q3 </w:t>
                      </w:r>
                      <w:r>
                        <w:rPr>
                          <w:rFonts w:ascii="Times New Roman;serif" w:hAnsi="Times New Roman;serif"/>
                          <w:b w:val="false"/>
                          <w:color w:val="000000"/>
                          <w:sz w:val="20"/>
                        </w:rPr>
                        <w:t>2025</w:t>
                      </w:r>
                      <w:r>
                        <w:rPr>
                          <w:color w:val="000000"/>
                        </w:rPr>
                        <w:t xml:space="preserve"> </w:t>
                      </w:r>
                      <w:r>
                        <w:rPr>
                          <w:rFonts w:ascii="Times New Roman;serif" w:hAnsi="Times New Roman;serif"/>
                          <w:b w:val="false"/>
                          <w:color w:val="000000"/>
                          <w:sz w:val="19"/>
                        </w:rPr>
                        <w:t>Form 10-Q | 37</w:t>
                      </w:r>
                    </w:p>
                  </w:txbxContent>
                </v:textbox>
                <w10:wrap type="none"/>
              </v:rect>
            </w:pict>
          </mc:Fallback>
        </mc:AlternateContent>
      </w:r>
    </w:p>
    <w:p>
      <w:pPr>
        <w:pStyle w:val="TextBody"/>
        <w:bidi w:val="0"/>
        <w:spacing w:lineRule="auto" w:line="288" w:before="0" w:after="0"/>
        <w:jc w:val="left"/>
        <w:rPr/>
      </w:pPr>
      <w:hyperlink w:anchor="i004be9cfd92c48c78448e0b03d16957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0" w:after="0"/>
        <w:ind w:left="0" w:right="0" w:firstLine="450"/>
        <w:jc w:val="left"/>
        <w:rPr/>
      </w:pPr>
      <w:r>
        <w:rPr>
          <w:rFonts w:ascii="Times New Roman;serif" w:hAnsi="Times New Roman;serif"/>
          <w:b w:val="false"/>
          <w:color w:val="000000"/>
          <w:sz w:val="20"/>
        </w:rPr>
        <w:t>Pacira’s mission is to deliver innovative, non-opioid pain therapies to transform the lives of patients. Our long-acting, local analgesic EXPAREL utilizes our unique pMVL drug delivery technology that encapsulates drugs without altering their molecular structure and releases them over a desired period of time. In the U.S., EXPAREL is a long-acting, non-opioid option proven to manage postsurgical pain. EXPAREL is the only product indicated for local analgesia via infiltration in patients aged six years and older and regional analgesia via interscalene brachial plexus nerve block, sciatic nerve block in the popliteal fossa and adductor canal block in adults. In Europe, EXPAREL is approved as a brachial plexus block or femoral nerve block for treatment of post-operative pain in adults, and as a field block for treatment of somatic post-operative pain from small- to medium-sized surgical wounds in adults and children aged six years and older. We drop-ship EXPAREL directly to end-users based on orders placed to wholesalers or directly to us, and there is no product held by wholesalers. With the acquisition of Flexion Therapeutics, Inc. in November 2021 (the “Flexion Acquisition”), we acquired ZILRETTA, the first and only extended-release, intra-articular, or IA, injectable therapy that can provide major relief for osteoarthritis, or OA, knee pain for three months and has the potential to become an alternative to hyaluronic acid, platelet rich plasma injections or other early intervention treatments. With the acquisition of MyoScience, Inc. in April 2019 (the “MyoScience Acquisition”</w:t>
      </w:r>
      <w:r>
        <w:rPr>
          <w:rFonts w:ascii="Times New Roman;serif" w:hAnsi="Times New Roman;serif"/>
          <w:b w:val="false"/>
          <w:i/>
          <w:color w:val="000000"/>
          <w:sz w:val="20"/>
        </w:rPr>
        <w:t>)</w:t>
      </w:r>
      <w:r>
        <w:rPr>
          <w:rFonts w:ascii="Times New Roman;serif" w:hAnsi="Times New Roman;serif"/>
          <w:b w:val="false"/>
          <w:color w:val="000000"/>
          <w:sz w:val="20"/>
        </w:rPr>
        <w:t xml:space="preserve">, we acquired iovera°, a handheld cryoanalgesia device used to deliver a precise, controlled application of cold temperature to targeted nerves, which we sell directly to end users. EXPAREL, ZILRETTA and iovera° are highly complementary products as long-acting, non-opioid therapies that alleviate pain. We are also advancing the development of PCRX-201 (enekinragene inzadenovec), a novel, locally administered gene therapy for the treatment of OA of the knee. PCRX-201 is the lead program from our proprietary high-capacity adenovirus, or HCAd, vector platform, which enables local administration of genetic medicines and has the potential to unlock gene therapy for large prevalent diseases affecting millions of people. In February 2025, we acquired the remaining 81 percent equity interest in GQ Bio Therapeutics GmbH, or GQ Bio (the “GQ Bio Acquisition”), a privately-held biopharmaceutical company, which included the novel HCAd platform, a preclinical portion of HCAd-based assets and research and development talent. For more information on the GQ Bio Acquisition, see Note 3, </w:t>
      </w:r>
      <w:r>
        <w:rPr>
          <w:rFonts w:ascii="Times New Roman;serif" w:hAnsi="Times New Roman;serif"/>
          <w:b w:val="false"/>
          <w:i/>
          <w:color w:val="000000"/>
          <w:sz w:val="20"/>
        </w:rPr>
        <w:t>GQ Bio Therapeutics Acquisition</w:t>
      </w:r>
      <w:r>
        <w:rPr>
          <w:rFonts w:ascii="Times New Roman;serif" w:hAnsi="Times New Roman;serif"/>
          <w:b w:val="false"/>
          <w:color w:val="000000"/>
          <w:sz w:val="20"/>
        </w:rPr>
        <w:t>, to our condensed consolidated financial statements included herein.</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expect to continue to pursue the expanded use of EXPAREL, ZILRETTA and iovera° in additional procedures; progress our earlier-stage product candidate pipeline; advance regulatory activities for EXPAREL, ZILRETTA, iovera°, PCRX-201 and our other product candidates; invest in sales and marketing resources for EXPAREL, ZILRETTA and iovera°; expand and enhance our manufacturing capacity for EXPAREL, ZILRETTA and iovera°; invest in products, businesses and technologies; and support legal matters.</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Global Economic Conditions, Inflation and Tariffs</w:t>
      </w:r>
    </w:p>
    <w:p>
      <w:pPr>
        <w:pStyle w:val="TextBody"/>
        <w:bidi w:val="0"/>
        <w:spacing w:lineRule="auto" w:line="288"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Direct and indirect effects of global economic conditions have in the past, and may continue to, negatively impact our business, financial condition and results of operations. Such impacts may include the effect of prolonged periods of inflation or the imposition of tariffs, which could, among other things, result in higher costs for raw materials, equipment and other goods and services; cause patients to defer or cancel medical procedures, thereby adversely impacting our revenues; and negatively impact our suppliers which could result in longer lead-times or the inability to procure a sufficient supply of materials.</w:t>
      </w:r>
    </w:p>
    <w:p>
      <w:pPr>
        <w:pStyle w:val="TextBody"/>
        <w:bidi w:val="0"/>
        <w:spacing w:lineRule="auto" w:line="288" w:before="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While there has been no material impact on our business related to tariffs to date, the current macroeconomic environment remains dynamic and subject to rapid and possibly material changes. For instance, the U.S. government may in the future pause, reimpose or increase tariffs and foreign governments have, and in the future may, impose retaliatory trade protection measures. Our business may be impacted by ongoing risks associated with global macroeconomic conditions, including international relations and trade disputes. For example, and most notably for us, the active pharmaceutical ingredient for both EXPAREL and ZILRETTA are sourced from outside the U.S. In July 2025, the U.S. and the European Union, or E.U., agreed to a trade deal that sets a 15% tariff on most imports from the E.U., including branded pharmaceuticals, and effectively exempts the E.U. from higher tariffs that may be imposed on pharmaceutical imports from other countries pursuant to a pending investigation of such imports under Section 232 of the Trade Expansion Act of 1962. Pharmaceuticals imported from countries outside the E.U. may face higher tariffs, including tariffs that may be imposed pursuant to the pending Section 232 investigation. </w:t>
      </w:r>
    </w:p>
    <w:p>
      <w:pPr>
        <w:pStyle w:val="TextBody"/>
        <w:bidi w:val="0"/>
        <w:spacing w:lineRule="auto" w:line="288" w:before="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Such tariffs imposed by the U.S. and/or other countries that are currently in effect, or may take effect in the future, could increase our manufacturing and operating expenses in future periods, including the cost to deliver our products to commercial markets, the cost to source raw materials for the manufacturing of our products and the cost of materials used in our research and development activities. The imposition of future tariffs impacting our industry, the magnitude of response by other countries to such tariffs and the length of time such tariffs are in effect may also increase uncertainty and adversely impact our business.</w:t>
      </w:r>
    </w:p>
    <w:p>
      <w:pPr>
        <w:pStyle w:val="TextBody"/>
        <w:bidi w:val="0"/>
        <w:spacing w:lineRule="auto" w:line="288" w:before="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There has been significant volatility in U.S. tariff and customs policy recently, with frequent changes in rates, sudden elimination or reinstatement of exemptions, shifts in implementation dates and reversals of prior actions. Most recently,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40" name="Frame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Q3 </w:t>
                            </w:r>
                            <w:r>
                              <w:rPr>
                                <w:rFonts w:ascii="Times New Roman;serif" w:hAnsi="Times New Roman;serif"/>
                                <w:b w:val="false"/>
                                <w:color w:val="000000"/>
                                <w:sz w:val="20"/>
                              </w:rPr>
                              <w:t>2025</w:t>
                            </w:r>
                            <w:r>
                              <w:rPr>
                                <w:color w:val="000000"/>
                              </w:rPr>
                              <w:t xml:space="preserve"> </w:t>
                            </w:r>
                            <w:r>
                              <w:rPr>
                                <w:rFonts w:ascii="Times New Roman;serif" w:hAnsi="Times New Roman;serif"/>
                                <w:b w:val="false"/>
                                <w:color w:val="000000"/>
                                <w:sz w:val="19"/>
                              </w:rPr>
                              <w:t>Form 10-Q | 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Q3 </w:t>
                      </w:r>
                      <w:r>
                        <w:rPr>
                          <w:rFonts w:ascii="Times New Roman;serif" w:hAnsi="Times New Roman;serif"/>
                          <w:b w:val="false"/>
                          <w:color w:val="000000"/>
                          <w:sz w:val="20"/>
                        </w:rPr>
                        <w:t>2025</w:t>
                      </w:r>
                      <w:r>
                        <w:rPr>
                          <w:color w:val="000000"/>
                        </w:rPr>
                        <w:t xml:space="preserve"> </w:t>
                      </w:r>
                      <w:r>
                        <w:rPr>
                          <w:rFonts w:ascii="Times New Roman;serif" w:hAnsi="Times New Roman;serif"/>
                          <w:b w:val="false"/>
                          <w:color w:val="000000"/>
                          <w:sz w:val="19"/>
                        </w:rPr>
                        <w:t>Form 10-Q | 38</w:t>
                      </w:r>
                    </w:p>
                  </w:txbxContent>
                </v:textbox>
                <w10:wrap type="none"/>
              </v:rect>
            </w:pict>
          </mc:Fallback>
        </mc:AlternateContent>
      </w:r>
    </w:p>
    <w:p>
      <w:pPr>
        <w:pStyle w:val="TextBody"/>
        <w:bidi w:val="0"/>
        <w:spacing w:lineRule="auto" w:line="288" w:before="0" w:after="0"/>
        <w:jc w:val="left"/>
        <w:rPr/>
      </w:pPr>
      <w:hyperlink w:anchor="i004be9cfd92c48c78448e0b03d16957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September 2025, the U.S. Presidential administration noted it would explore imposing a 100% tariff on imports of branded or patented pharmaceutical products, unless a pharmaceutical company is building a manufacturing plant in the U.S. This volatility makes it more difficult to forecast costs, plan our global supply chain and provide reliable financial guidance. Policy changes often require rapid operational adjustments that can increase costs and reduce efficiency. We expect such volatility and uncertainty related to tariffs and customs to continue, potentially posing ongoing challenges to our operations, financial planning and investor communications.</w:t>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addition, federal agencies in the U.S. have been operating under a government shutdown since October 1, 2025 (which has continued as of the date of this Quarterly Report on Form 10-Q). The shutdown has impacted certain federal agencies, such as the FDA and Centers for Medicare Services, or CMS, who have furloughed staff and scaled back their operations. While we have not yet experienced an adverse impact on our business operations due to this government shutdown, if the government shutdown continues for a prolonged period of time, or if a widespread freeze on federal funding occurs, it could significantly impact the ability of the FDA to timely review and process our regulatory submissions or negatively affect sales of our products if some of our customers do not (or perceive that they will not) receive adequate reimbursement from third-party payors or CMS. We will continue to evaluate the impacts of the government shutdown on our business and results of operations. The duration of the current U.S. government shutdown is unknown, nor is the extent of potential agency backlogs once the shutdown concludes, and therefore we are unable to predict the potential impact of a prolonged government shutdown on our business or operations.</w:t>
      </w:r>
    </w:p>
    <w:p>
      <w:pPr>
        <w:pStyle w:val="TextBody"/>
        <w:bidi w:val="0"/>
        <w:spacing w:before="0" w:after="0"/>
        <w:jc w:val="left"/>
        <w:rPr/>
      </w:pPr>
      <w:r>
        <w:rPr/>
      </w:r>
    </w:p>
    <w:p>
      <w:pPr>
        <w:pStyle w:val="TextBody"/>
        <w:bidi w:val="0"/>
        <w:spacing w:lineRule="auto" w:line="288" w:before="0" w:after="100"/>
        <w:jc w:val="left"/>
        <w:rPr>
          <w:rFonts w:ascii="Times New Roman;serif" w:hAnsi="Times New Roman;serif"/>
          <w:b/>
          <w:color w:val="000000"/>
          <w:sz w:val="20"/>
        </w:rPr>
      </w:pPr>
      <w:r>
        <w:rPr>
          <w:rFonts w:ascii="Times New Roman;serif" w:hAnsi="Times New Roman;serif"/>
          <w:b/>
          <w:color w:val="000000"/>
          <w:sz w:val="20"/>
        </w:rPr>
        <w:t>Recent Highlights</w:t>
      </w:r>
    </w:p>
    <w:p>
      <w:pPr>
        <w:pStyle w:val="TextBody"/>
        <w:bidi w:val="0"/>
        <w:spacing w:lineRule="auto" w:line="288" w:before="0" w:after="100"/>
        <w:ind w:left="0" w:right="0" w:hanging="270"/>
        <w:jc w:val="left"/>
        <w:rPr/>
      </w:pPr>
      <w:r>
        <w:rPr>
          <w:color w:val="000000"/>
        </w:rPr>
        <w:t>•</w:t>
      </w:r>
      <w:r>
        <w:rPr>
          <w:rFonts w:ascii="Times New Roman;serif" w:hAnsi="Times New Roman;serif"/>
          <w:b w:val="false"/>
          <w:color w:val="000000"/>
          <w:sz w:val="20"/>
        </w:rPr>
        <w:t xml:space="preserve">In August 2025, the U.S. Patent and Trademark Office, or USPTO, issued U.S. Patent No. 12,370,142 (the ‘142 patent), claiming composition of EXPAREL manufactured by an enhanced process from our large-scale batch process in San Diego, California, which demonstrated a more consistent stability profile as measured by an in-vitro release assay (IVRA). We now have 21 EXPAREL patents listed in the FDA’s </w:t>
      </w:r>
      <w:r>
        <w:rPr>
          <w:rFonts w:ascii="Times New Roman;serif" w:hAnsi="Times New Roman;serif"/>
          <w:b w:val="false"/>
          <w:i/>
          <w:color w:val="000000"/>
          <w:sz w:val="20"/>
        </w:rPr>
        <w:t>Approved Drug Products with Therapeutic Equivalence Evaluations</w:t>
      </w:r>
      <w:r>
        <w:rPr>
          <w:color w:val="000000"/>
        </w:rPr>
        <w:t xml:space="preserve"> </w:t>
      </w:r>
      <w:r>
        <w:rPr>
          <w:rFonts w:ascii="Times New Roman;serif" w:hAnsi="Times New Roman;serif"/>
          <w:b w:val="false"/>
          <w:color w:val="000000"/>
          <w:sz w:val="20"/>
        </w:rPr>
        <w:t>(the “Orange Book”). The ‘142 patent expires in July 2044.</w:t>
      </w:r>
    </w:p>
    <w:p>
      <w:pPr>
        <w:pStyle w:val="TextBody"/>
        <w:bidi w:val="0"/>
        <w:spacing w:lineRule="auto" w:line="288" w:before="0" w:after="100"/>
        <w:ind w:left="0" w:right="0" w:hanging="270"/>
        <w:jc w:val="left"/>
        <w:rPr/>
      </w:pPr>
      <w:r>
        <w:rPr>
          <w:color w:val="000000"/>
        </w:rPr>
        <w:t>•</w:t>
      </w:r>
      <w:r>
        <w:rPr>
          <w:rFonts w:ascii="Times New Roman;serif" w:hAnsi="Times New Roman;serif"/>
          <w:b w:val="false"/>
          <w:color w:val="000000"/>
          <w:sz w:val="20"/>
        </w:rPr>
        <w:t>In October 2025, we presented new data from our Phase 1 clinical trial evaluating PCRX-201 (enekinragene inzadenovec), our novel gene therapy candidate for OA of the knee, at the American College of Rheumatology’s Convergence 2025 meeting. These data demonstrated sustained efficacy from a single IA injection of PCRX-201 with improvements in pain, stiffness and function for up to three years. Importantly, efficacy was observed across all structural severity subgroups including the most severe with a Kellgren-Lawrence (K-L) grade of 4. In addition, investigators highlighted that pre-existing neutralizing antibodies did not affect PCRX-201’s efficacy or safety at all three dose levels tested. Natural immune responses are a major obstacle for gene therapies, and these preliminary data indicate the potential for re-dosing.</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Additionally, in November 2025, we announced the conclusion of patient enrollment in Part A of our Phase 2 ASCEND study evaluating PCRX-201 for the treatment of OA of the knee. This milestone marks the first stage of a two-part, multicenter trial designed to evaluate the safety and efficacy of PCRX-201. We remain on track to report results from a pre-specified interim analysis before the end of 2026.</w:t>
      </w:r>
    </w:p>
    <w:p>
      <w:pPr>
        <w:pStyle w:val="TextBody"/>
        <w:bidi w:val="0"/>
        <w:spacing w:lineRule="auto" w:line="288" w:before="0" w:after="100"/>
        <w:ind w:left="0" w:right="0" w:hanging="270"/>
        <w:jc w:val="left"/>
        <w:rPr/>
      </w:pPr>
      <w:r>
        <w:rPr>
          <w:color w:val="000000"/>
        </w:rPr>
        <w:t>•</w:t>
      </w:r>
      <w:r>
        <w:rPr>
          <w:rFonts w:ascii="Times New Roman;serif" w:hAnsi="Times New Roman;serif"/>
          <w:b w:val="false"/>
          <w:color w:val="000000"/>
          <w:sz w:val="20"/>
        </w:rPr>
        <w:t>In November 2025, we and AmacaThera, Inc., or AmacaThera, a clinical-stage biotechnology company specializing in drug delivery, announced an exclusive worldwide license agreement for the development and commercialization of AMT-143, a long-acting formulation of the non-opioid analgesic ropivacaine for postsurgical pain. Under the terms of the agreement, AmacaThera will receive an upfront payment of $5.0 million with the potential for future development- and sales-based milestone payments and a tiered royalty on future net product sales. This acquisition aligns with our 5x30 growth strategy to prioritize clinical stage, derisked opportunities that are complementary to our call points in pain management.</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AMT-143 is a slow-release, non-opioid local analgesic providing long-acting post-operative pain relief. It is administered via instillation at the time of the surgery and leverages AmacaThera’s innovative hydrogel platform, a fast-gelling physical hydrogel composed of two well-established polymers enabling slow-release while minimizing systemic side effects. It is delivered via a conventional syringe and rapidly forms a depot as it warms to body temperature. In a Phase 1 study, AMT-143 demonstrated sustained release of ropivacaine through 14 days. We and AmacaThera expect to initiate a Phase 2 program in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41" name="Frame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Q3 </w:t>
                            </w:r>
                            <w:r>
                              <w:rPr>
                                <w:rFonts w:ascii="Times New Roman;serif" w:hAnsi="Times New Roman;serif"/>
                                <w:b w:val="false"/>
                                <w:color w:val="000000"/>
                                <w:sz w:val="20"/>
                              </w:rPr>
                              <w:t>2025</w:t>
                            </w:r>
                            <w:r>
                              <w:rPr>
                                <w:color w:val="000000"/>
                              </w:rPr>
                              <w:t xml:space="preserve"> </w:t>
                            </w:r>
                            <w:r>
                              <w:rPr>
                                <w:rFonts w:ascii="Times New Roman;serif" w:hAnsi="Times New Roman;serif"/>
                                <w:b w:val="false"/>
                                <w:color w:val="000000"/>
                                <w:sz w:val="19"/>
                              </w:rPr>
                              <w:t>Form 10-Q | 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Q3 </w:t>
                      </w:r>
                      <w:r>
                        <w:rPr>
                          <w:rFonts w:ascii="Times New Roman;serif" w:hAnsi="Times New Roman;serif"/>
                          <w:b w:val="false"/>
                          <w:color w:val="000000"/>
                          <w:sz w:val="20"/>
                        </w:rPr>
                        <w:t>2025</w:t>
                      </w:r>
                      <w:r>
                        <w:rPr>
                          <w:color w:val="000000"/>
                        </w:rPr>
                        <w:t xml:space="preserve"> </w:t>
                      </w:r>
                      <w:r>
                        <w:rPr>
                          <w:rFonts w:ascii="Times New Roman;serif" w:hAnsi="Times New Roman;serif"/>
                          <w:b w:val="false"/>
                          <w:color w:val="000000"/>
                          <w:sz w:val="19"/>
                        </w:rPr>
                        <w:t>Form 10-Q | 39</w:t>
                      </w:r>
                    </w:p>
                  </w:txbxContent>
                </v:textbox>
                <w10:wrap type="none"/>
              </v:rect>
            </w:pict>
          </mc:Fallback>
        </mc:AlternateContent>
      </w:r>
    </w:p>
    <w:p>
      <w:pPr>
        <w:pStyle w:val="TextBody"/>
        <w:bidi w:val="0"/>
        <w:spacing w:lineRule="auto" w:line="288" w:before="0" w:after="0"/>
        <w:jc w:val="left"/>
        <w:rPr/>
      </w:pPr>
      <w:hyperlink w:anchor="i004be9cfd92c48c78448e0b03d16957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Science Center Campus Reduction in Force</w:t>
      </w:r>
    </w:p>
    <w:p>
      <w:pPr>
        <w:pStyle w:val="TextBody"/>
        <w:bidi w:val="0"/>
        <w:spacing w:before="0" w:after="0"/>
        <w:jc w:val="left"/>
        <w:rPr/>
      </w:pPr>
      <w:r>
        <w:rPr/>
      </w:r>
    </w:p>
    <w:p>
      <w:pPr>
        <w:pStyle w:val="TextBody"/>
        <w:bidi w:val="0"/>
        <w:spacing w:lineRule="auto" w:line="288" w:before="0" w:after="10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July 2025, as a result of improving manufacturing efficiencies for EXPAREL, we instituted a reduction in force at our Science Center Campus in San Diego, California. Our enhanced efficiencies were the result of our multi-year investment in two large-scale 200+ liter batch manufacturing suites located in San Diego and Swindon, United Kingdom, which commenced commercial production in 2024 and 2021, respectively. These two large-scale manufacturing suites are capable of producing bulk EXPAREL volumes that are approximately four-fold greater than our 45-liter batch manufacturing process, and we believe these larger manufacturing suites provide ample capacity for meeting the growing demand and improving gross margins for EXPAREL through a meaningfully more favorable cost structure and manufacturing yields versus the 45-liter batch process. As a result, and after careful consideration, we decided to decommission our 45-liter EXPAREL batch manufacturing suite located in San Diego and reduce our workforce accordingly.</w:t>
      </w:r>
    </w:p>
    <w:p>
      <w:pPr>
        <w:pStyle w:val="TextBody"/>
        <w:bidi w:val="0"/>
        <w:spacing w:lineRule="auto" w:line="288" w:before="0" w:after="10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reduction impacted 71 employees or approximately 8% of our then-total workforce. As a result, during both the three and nine months ended September 30, 2025, we recognized $3.7 million of employee termination benefit charges which consist of garden leave under California employment law, severance, healthcare benefits, and, to a lesser extent, other one-time termination benefits. In June 2025, we reserved $1.0 million of inventory and recognized $5.5 million of accelerated depreciation expense associated with the decommissioning of the 45-liter manufacturing assets.</w:t>
      </w:r>
    </w:p>
    <w:p>
      <w:pPr>
        <w:pStyle w:val="TextBody"/>
        <w:bidi w:val="0"/>
        <w:spacing w:lineRule="auto" w:line="288" w:before="0" w:after="10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This reduction in the workforce is subject to local regulatory requirements and the majority of these charges occurred in the third quarter of 2025. The reduction in the workforce is anticipated to lead to an annual reduction in operating expenses of approximately $13.0 million, which does not reflect the one-time expenses associated with the workforce reduction. In addition, we may incur other charges or cash expenditures not currently contemplated due to unanticipated events that may occur in connection with the workforce reduction.</w:t>
      </w:r>
    </w:p>
    <w:p>
      <w:pPr>
        <w:pStyle w:val="TextBody"/>
        <w:bidi w:val="0"/>
        <w:spacing w:lineRule="auto" w:line="288" w:before="0" w:after="180"/>
        <w:ind w:left="0" w:right="0" w:firstLine="450"/>
        <w:jc w:val="left"/>
        <w:rPr/>
      </w:pPr>
      <w:r>
        <w:rPr>
          <w:rFonts w:ascii="Times New Roman;serif" w:hAnsi="Times New Roman;serif"/>
          <w:b w:val="false"/>
          <w:color w:val="000000"/>
          <w:sz w:val="20"/>
        </w:rPr>
        <w:t xml:space="preserve">For more information, see Note 15, </w:t>
      </w:r>
      <w:r>
        <w:rPr>
          <w:rFonts w:ascii="Times New Roman;serif" w:hAnsi="Times New Roman;serif"/>
          <w:b w:val="false"/>
          <w:i/>
          <w:color w:val="000000"/>
          <w:sz w:val="20"/>
        </w:rPr>
        <w:t>Contingent Consideration Charges (Gains), Acquisition-related Expenses, Restructuring and Other,</w:t>
      </w:r>
      <w:r>
        <w:rPr>
          <w:color w:val="000000"/>
        </w:rPr>
        <w:t xml:space="preserve"> </w:t>
      </w:r>
      <w:r>
        <w:rPr>
          <w:rFonts w:ascii="Times New Roman;serif" w:hAnsi="Times New Roman;serif"/>
          <w:b w:val="false"/>
          <w:color w:val="000000"/>
          <w:sz w:val="20"/>
        </w:rPr>
        <w:t>to our condensed consolidated financial statements included herein.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EXPAREL</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the U.S., EXPAREL is currently indicated for local analgesia via infiltration in patients aged six years and older and regional analgesia via interscalene brachial plexus nerve block, sciatic nerve block in the popliteal fossa, and adductor canal block in adults. Safety and efficacy have not been established in other nerve blocks. In Europe, EXPAREL is approved as a brachial plexus block or femoral nerve block for treatment of post-operative pain in adults, and as a field block for treatment of somatic post-operative pain from small- to medium-sized surgical wounds in adults and children aged six years and older. We are currently advancing a registration program for EXPAREL in pediatric patients under six years of age.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EXPAREL Clinical Benefits</w:t>
      </w:r>
    </w:p>
    <w:p>
      <w:pPr>
        <w:pStyle w:val="TextBody"/>
        <w:bidi w:val="0"/>
        <w:spacing w:before="0" w:after="0"/>
        <w:jc w:val="left"/>
        <w:rPr/>
      </w:pPr>
      <w:r>
        <w:rPr/>
      </w:r>
    </w:p>
    <w:p>
      <w:pPr>
        <w:pStyle w:val="TextBody"/>
        <w:bidi w:val="0"/>
        <w:spacing w:lineRule="auto" w:line="288" w:before="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believe EXPAREL can replace the use of bupivacaine delivered via elastomeric pumps as the foundation of a multimodal regimen for long-acting postsurgical pain management. Based on our clinical data, EXPAREL:</w:t>
      </w:r>
    </w:p>
    <w:p>
      <w:pPr>
        <w:pStyle w:val="TextBody"/>
        <w:bidi w:val="0"/>
        <w:spacing w:lineRule="auto" w:line="288" w:before="0" w:after="100"/>
        <w:ind w:left="0" w:right="0" w:hanging="540"/>
        <w:jc w:val="left"/>
        <w:rPr/>
      </w:pPr>
      <w:r>
        <w:rPr>
          <w:color w:val="000000"/>
        </w:rPr>
        <w:t>•</w:t>
      </w:r>
      <w:r>
        <w:rPr>
          <w:rFonts w:ascii="Times New Roman;serif" w:hAnsi="Times New Roman;serif"/>
          <w:b w:val="false"/>
          <w:color w:val="000000"/>
          <w:sz w:val="20"/>
        </w:rPr>
        <w:t>provides long-lasting local or regional analgesia;</w:t>
      </w:r>
    </w:p>
    <w:p>
      <w:pPr>
        <w:pStyle w:val="TextBody"/>
        <w:bidi w:val="0"/>
        <w:spacing w:lineRule="auto" w:line="288" w:before="0" w:after="100"/>
        <w:ind w:left="0" w:right="0" w:hanging="540"/>
        <w:jc w:val="left"/>
        <w:rPr/>
      </w:pPr>
      <w:r>
        <w:rPr>
          <w:color w:val="000000"/>
        </w:rPr>
        <w:t>•</w:t>
      </w:r>
      <w:r>
        <w:rPr>
          <w:rFonts w:ascii="Times New Roman;serif" w:hAnsi="Times New Roman;serif"/>
          <w:b w:val="false"/>
          <w:color w:val="000000"/>
          <w:sz w:val="20"/>
        </w:rPr>
        <w:t>is a ready-to-use formulation;</w:t>
      </w:r>
    </w:p>
    <w:p>
      <w:pPr>
        <w:pStyle w:val="TextBody"/>
        <w:bidi w:val="0"/>
        <w:spacing w:lineRule="auto" w:line="288" w:before="0" w:after="100"/>
        <w:ind w:left="0" w:right="0" w:hanging="540"/>
        <w:jc w:val="left"/>
        <w:rPr/>
      </w:pPr>
      <w:r>
        <w:rPr>
          <w:color w:val="000000"/>
        </w:rPr>
        <w:t>•</w:t>
      </w:r>
      <w:r>
        <w:rPr>
          <w:rFonts w:ascii="Times New Roman;serif" w:hAnsi="Times New Roman;serif"/>
          <w:b w:val="false"/>
          <w:color w:val="000000"/>
          <w:sz w:val="20"/>
        </w:rPr>
        <w:t>expands easily with saline or lactated Ringer’s solution to reach a desired volume;</w:t>
      </w:r>
    </w:p>
    <w:p>
      <w:pPr>
        <w:pStyle w:val="TextBody"/>
        <w:bidi w:val="0"/>
        <w:spacing w:lineRule="auto" w:line="288" w:before="0" w:after="100"/>
        <w:ind w:left="0" w:right="0" w:hanging="540"/>
        <w:jc w:val="left"/>
        <w:rPr/>
      </w:pPr>
      <w:r>
        <w:rPr>
          <w:color w:val="000000"/>
        </w:rPr>
        <w:t>•</w:t>
      </w:r>
      <w:r>
        <w:rPr>
          <w:rFonts w:ascii="Times New Roman;serif" w:hAnsi="Times New Roman;serif"/>
          <w:b w:val="false"/>
          <w:color w:val="000000"/>
          <w:sz w:val="20"/>
        </w:rPr>
        <w:t>can be administered for local analgesia via infiltration and for regional analgesia via field block, as well as brachial plexus nerve block, sciatic nerve block in the popliteal fossa and adductor canal block; and</w:t>
      </w:r>
    </w:p>
    <w:p>
      <w:pPr>
        <w:pStyle w:val="TextBody"/>
        <w:bidi w:val="0"/>
        <w:spacing w:lineRule="auto" w:line="288" w:before="0" w:after="100"/>
        <w:ind w:left="0" w:right="0" w:hanging="540"/>
        <w:jc w:val="left"/>
        <w:rPr/>
      </w:pPr>
      <w:r>
        <w:rPr>
          <w:color w:val="000000"/>
        </w:rPr>
        <w:t>•</w:t>
      </w:r>
      <w:r>
        <w:rPr>
          <w:rFonts w:ascii="Times New Roman;serif" w:hAnsi="Times New Roman;serif"/>
          <w:b w:val="false"/>
          <w:color w:val="000000"/>
          <w:sz w:val="20"/>
        </w:rPr>
        <w:t>facilitates treatment of a variety of surgical sites.</w:t>
      </w:r>
    </w:p>
    <w:p>
      <w:pPr>
        <w:pStyle w:val="TextBody"/>
        <w:bidi w:val="0"/>
        <w:spacing w:lineRule="auto" w:line="288" w:before="0" w:after="10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believe EXPAREL is a key component of long-acting postsurgical pain management regimens that reduce the need for opioids. Based on the clinical data from our Phase 3 and Phase 4 clinical studies as well as data from retrospective health outcomes studies, EXPAREL significantly reduces opioid usage while improving postsurgical pain management.</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have successfully completed Part 1 of a pediatric study in children aged two to less than six years of age. We have initiated enrollment for Part 2 of the pediatric study in children aged six months to less than two years of age using the same dosage that was utilized in Part 1.</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42"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Q3 </w:t>
                            </w:r>
                            <w:r>
                              <w:rPr>
                                <w:rFonts w:ascii="Times New Roman;serif" w:hAnsi="Times New Roman;serif"/>
                                <w:b w:val="false"/>
                                <w:color w:val="000000"/>
                                <w:sz w:val="20"/>
                              </w:rPr>
                              <w:t>2025</w:t>
                            </w:r>
                            <w:r>
                              <w:rPr>
                                <w:color w:val="000000"/>
                              </w:rPr>
                              <w:t xml:space="preserve"> </w:t>
                            </w:r>
                            <w:r>
                              <w:rPr>
                                <w:rFonts w:ascii="Times New Roman;serif" w:hAnsi="Times New Roman;serif"/>
                                <w:b w:val="false"/>
                                <w:color w:val="000000"/>
                                <w:sz w:val="19"/>
                              </w:rPr>
                              <w:t>Form 10-Q | 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Q3 </w:t>
                      </w:r>
                      <w:r>
                        <w:rPr>
                          <w:rFonts w:ascii="Times New Roman;serif" w:hAnsi="Times New Roman;serif"/>
                          <w:b w:val="false"/>
                          <w:color w:val="000000"/>
                          <w:sz w:val="20"/>
                        </w:rPr>
                        <w:t>2025</w:t>
                      </w:r>
                      <w:r>
                        <w:rPr>
                          <w:color w:val="000000"/>
                        </w:rPr>
                        <w:t xml:space="preserve"> </w:t>
                      </w:r>
                      <w:r>
                        <w:rPr>
                          <w:rFonts w:ascii="Times New Roman;serif" w:hAnsi="Times New Roman;serif"/>
                          <w:b w:val="false"/>
                          <w:color w:val="000000"/>
                          <w:sz w:val="19"/>
                        </w:rPr>
                        <w:t>Form 10-Q | 40</w:t>
                      </w:r>
                    </w:p>
                  </w:txbxContent>
                </v:textbox>
                <w10:wrap type="none"/>
              </v:rect>
            </w:pict>
          </mc:Fallback>
        </mc:AlternateContent>
      </w:r>
    </w:p>
    <w:p>
      <w:pPr>
        <w:pStyle w:val="TextBody"/>
        <w:bidi w:val="0"/>
        <w:spacing w:lineRule="auto" w:line="288" w:before="0" w:after="0"/>
        <w:jc w:val="left"/>
        <w:rPr/>
      </w:pPr>
      <w:hyperlink w:anchor="i004be9cfd92c48c78448e0b03d16957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ZILRETTA</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ZILRETTA is the first and only extended-release, single-shot corticosteroid IA injection therapy for OA knee pain. ZILRETTA employs a proprietary, extended-release microsphere technology combining triamcinolone acetonide, or TA, a commonly administered, immediate-release corticosteroid, with a poly lactic-co-glycolic acid, or PLGA, matrix to provide extended pain relief. PLGA is a proven extended-release delivery vehicle that is metabolized to carbon dioxide and water as it releases drug in the IA space and is used in other approved drug products and surgical devices. The ZILRETTA microspheres slowly and continuously release TA into the knee to provide significant pain relief for 12 weeks, with some people experiencing pain relief through 16 weeks. ZILRETTA was approved by the FDA in October 2017 and launched in the U.S. shortly thereafter.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are advancing a Phase 3 registration study to evaluate the safety and efficacy of ZILRETTA for the management of OA pain of the shoulder. If the study is successful, we plan to seek approval to expand the ZILRETTA label to include OA pain of the shoulder.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ZILRETTA Clinical Benefits</w:t>
      </w:r>
    </w:p>
    <w:p>
      <w:pPr>
        <w:pStyle w:val="TextBody"/>
        <w:bidi w:val="0"/>
        <w:spacing w:before="0" w:after="0"/>
        <w:jc w:val="left"/>
        <w:rPr/>
      </w:pPr>
      <w:r>
        <w:rPr/>
      </w:r>
    </w:p>
    <w:p>
      <w:pPr>
        <w:pStyle w:val="TextBody"/>
        <w:bidi w:val="0"/>
        <w:spacing w:lineRule="auto" w:line="288" w:before="0" w:after="0"/>
        <w:ind w:left="0" w:right="0" w:firstLine="450"/>
        <w:jc w:val="left"/>
        <w:rPr/>
      </w:pPr>
      <w:r>
        <w:rPr>
          <w:rFonts w:ascii="Times New Roman;serif" w:hAnsi="Times New Roman;serif"/>
          <w:b w:val="false"/>
          <w:color w:val="000000"/>
          <w:sz w:val="20"/>
        </w:rPr>
        <w:t xml:space="preserve">ZILRETTA combines TA with a proprietary, extended-release microsphere technology to administer extended therapeutic concentrations in the joint and persistent analgesic effect. Based on the strength of both its pivotal and other clinical trials, we believe that ZILRETTA represents an important treatment option for the millions of patients in the U.S. in need of safe and effective extended relief from OA knee pain. </w:t>
      </w:r>
      <w:r>
        <w:rPr>
          <w:rFonts w:ascii="Times New Roman;serif" w:hAnsi="Times New Roman;serif"/>
          <w:b w:val="false"/>
          <w:color w:val="000000"/>
          <w:sz w:val="20"/>
          <w:shd w:fill="FFFFFF" w:val="clear"/>
        </w:rPr>
        <w:t xml:space="preserve">The pivotal Phase 3 trial showed that ZILRETTA significantly reduced OA knee pain for 12 weeks, with some people experiencing pain relief through 16 weeks. </w:t>
      </w:r>
      <w:r>
        <w:rPr>
          <w:rFonts w:ascii="Times New Roman;serif" w:hAnsi="Times New Roman;serif"/>
          <w:b w:val="false"/>
          <w:color w:val="000000"/>
          <w:sz w:val="20"/>
        </w:rPr>
        <w:t>We believe that ZILRETTA has the potential to become the corticosteroid of choice given its safety and efficacy profile, and the fact that it is the first and only extended-release corticosteroid on the market. In August 2021, the American Association of Orthopaedic Surgeons, or AAOS, updated its evidence-based clinical practice guidelines, finding ZILRETTA can improve patient outcomes over traditional immediate-release corticosteroids.</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iovera°</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iovera° system is a non-opioid, handheld cryoanalgesia device used to deliver precise, controlled doses of cold temperature to targeted nerves. It is FDA 510(k) cleared in the U.S., has a CE mark in the E.U., and is cleared for marketing in Canada for the blocking of pain. We believe that iovera° is highly complementary to EXPAREL and ZILRETTA as a non-opioid therapy that alleviates pain using a non-pharmacological nerve block to disrupt pain signals being transmitted to the brain from the site of injury or surgery. It is also indicated for the relief of pain and symptoms associated with arthritis of the knee for up to 90 days.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iovera° Clinical Benefits</w:t>
      </w:r>
    </w:p>
    <w:p>
      <w:pPr>
        <w:pStyle w:val="TextBody"/>
        <w:bidi w:val="0"/>
        <w:spacing w:before="0" w:after="0"/>
        <w:jc w:val="left"/>
        <w:rPr/>
      </w:pPr>
      <w:r>
        <w:rPr/>
      </w:r>
    </w:p>
    <w:p>
      <w:pPr>
        <w:pStyle w:val="TextBody"/>
        <w:bidi w:val="0"/>
        <w:spacing w:lineRule="auto" w:line="288" w:before="0" w:after="10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There is a growing body of clinical data demonstrating success with iovera° treatment for a wide range of chronic pain conditions. Some of our strongest data relates directly to the improvement of OA pain of the knee. In a pivotal trial evaluating iovera° for knee OA pain, the majority of the patients suffering from OA pain of the knee experienced pain relief up to 150 days after being treated with iovera°.</w:t>
      </w:r>
    </w:p>
    <w:p>
      <w:pPr>
        <w:pStyle w:val="TextBody"/>
        <w:bidi w:val="0"/>
        <w:spacing w:lineRule="auto" w:line="288" w:before="0" w:after="10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Surgical intervention is typically a last resort for patients suffering from knee OA pain. Treatment with iovera° has demonstrated effectiveness for managing pain associated with knee replacements. Specifically, findings demonstrated reductions in opioids, including:</w:t>
      </w:r>
    </w:p>
    <w:p>
      <w:pPr>
        <w:pStyle w:val="TextBody"/>
        <w:bidi w:val="0"/>
        <w:spacing w:lineRule="auto" w:line="288" w:before="0" w:after="100"/>
        <w:ind w:left="0" w:right="0" w:hanging="360"/>
        <w:jc w:val="left"/>
        <w:rPr/>
      </w:pPr>
      <w:r>
        <w:rPr>
          <w:color w:val="000000"/>
        </w:rPr>
        <w:t>•</w:t>
      </w:r>
      <w:r>
        <w:rPr>
          <w:rFonts w:ascii="Times New Roman;serif" w:hAnsi="Times New Roman;serif"/>
          <w:b w:val="false"/>
          <w:color w:val="000000"/>
          <w:sz w:val="20"/>
        </w:rPr>
        <w:t>The daily morphine equivalent consumption in the per protocol group analysis was significantly lower at 72 hours (p&lt;0.05), 6 weeks (p&lt;0.05) and 12 weeks (p&lt;0.05).</w:t>
      </w:r>
    </w:p>
    <w:p>
      <w:pPr>
        <w:pStyle w:val="TextBody"/>
        <w:bidi w:val="0"/>
        <w:spacing w:lineRule="auto" w:line="288" w:before="0" w:after="100"/>
        <w:ind w:left="0" w:right="0" w:hanging="360"/>
        <w:jc w:val="left"/>
        <w:rPr/>
      </w:pPr>
      <w:r>
        <w:rPr>
          <w:color w:val="000000"/>
        </w:rPr>
        <w:t>•</w:t>
      </w:r>
      <w:r>
        <w:rPr>
          <w:rFonts w:ascii="Times New Roman;serif" w:hAnsi="Times New Roman;serif"/>
          <w:b w:val="false"/>
          <w:color w:val="000000"/>
          <w:sz w:val="20"/>
        </w:rPr>
        <w:t>Patients who were administered iovera° were far less likely to take opioids six weeks after surgery. The number of patients taking opioids six weeks after total knee arthroplasty, or TKA, in the control group was three times the number of patients taking opioids in the cryoanalgesia group (14 percent vs. 44 percent, p&lt;0.01).</w:t>
      </w:r>
    </w:p>
    <w:p>
      <w:pPr>
        <w:pStyle w:val="TextBody"/>
        <w:bidi w:val="0"/>
        <w:spacing w:lineRule="auto" w:line="288" w:before="0" w:after="100"/>
        <w:ind w:left="0" w:right="0" w:hanging="360"/>
        <w:jc w:val="left"/>
        <w:rPr/>
      </w:pPr>
      <w:r>
        <w:rPr>
          <w:color w:val="000000"/>
        </w:rPr>
        <w:t>•</w:t>
      </w:r>
      <w:r>
        <w:rPr>
          <w:rFonts w:ascii="Times New Roman;serif" w:hAnsi="Times New Roman;serif"/>
          <w:b w:val="false"/>
          <w:color w:val="000000"/>
          <w:sz w:val="20"/>
        </w:rPr>
        <w:t>Patients in the iovera° group demonstrated a statistically significant reduction in pain scores from their baseline pain scores at 72 hours (p&lt;0.05) and at 12 weeks (p&lt;0.05).</w:t>
      </w:r>
    </w:p>
    <w:p>
      <w:pPr>
        <w:pStyle w:val="TextBody"/>
        <w:bidi w:val="0"/>
        <w:spacing w:lineRule="auto" w:line="288" w:before="0" w:after="10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believe these data validate iovera° as a clinically meaningful non-opioid alternative for patients with knee OA as well as those undergoing TKA, and that iovera° offers the opportunity to provide patients with non-opioid pain control well in advance of any necessary surgical intervention through a number of key product attributes:</w:t>
      </w:r>
    </w:p>
    <w:p>
      <w:pPr>
        <w:pStyle w:val="TextBody"/>
        <w:bidi w:val="0"/>
        <w:spacing w:lineRule="auto" w:line="288" w:before="0" w:after="100"/>
        <w:ind w:left="0" w:right="0" w:hanging="360"/>
        <w:jc w:val="left"/>
        <w:rPr/>
      </w:pPr>
      <w:r>
        <w:rPr>
          <w:color w:val="000000"/>
        </w:rPr>
        <w:t>•</w:t>
      </w:r>
      <w:r>
        <w:rPr>
          <w:rFonts w:ascii="Times New Roman;serif" w:hAnsi="Times New Roman;serif"/>
          <w:b w:val="false"/>
          <w:color w:val="000000"/>
          <w:sz w:val="20"/>
        </w:rPr>
        <w:t>iovera° is safe and effective with immediate pain relief that can last for months as the nerve regenerates over time;</w:t>
      </w:r>
    </w:p>
    <w:p>
      <w:pPr>
        <w:pStyle w:val="TextBody"/>
        <w:bidi w:val="0"/>
        <w:spacing w:lineRule="auto" w:line="288" w:before="0" w:after="100"/>
        <w:ind w:left="0" w:right="0" w:hanging="360"/>
        <w:jc w:val="left"/>
        <w:rPr/>
      </w:pPr>
      <w:r>
        <w:rPr>
          <w:color w:val="000000"/>
        </w:rPr>
        <w:t>•</w:t>
      </w:r>
      <w:r>
        <w:rPr>
          <w:rFonts w:ascii="Times New Roman;serif" w:hAnsi="Times New Roman;serif"/>
          <w:b w:val="false"/>
          <w:color w:val="000000"/>
          <w:sz w:val="20"/>
        </w:rPr>
        <w:t>iovera° is repeatable, with no diminishing effectiveness over time and repeat use;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43" name="Frame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Q3 </w:t>
                            </w:r>
                            <w:r>
                              <w:rPr>
                                <w:rFonts w:ascii="Times New Roman;serif" w:hAnsi="Times New Roman;serif"/>
                                <w:b w:val="false"/>
                                <w:color w:val="000000"/>
                                <w:sz w:val="20"/>
                              </w:rPr>
                              <w:t>2025</w:t>
                            </w:r>
                            <w:r>
                              <w:rPr>
                                <w:color w:val="000000"/>
                              </w:rPr>
                              <w:t xml:space="preserve"> </w:t>
                            </w:r>
                            <w:r>
                              <w:rPr>
                                <w:rFonts w:ascii="Times New Roman;serif" w:hAnsi="Times New Roman;serif"/>
                                <w:b w:val="false"/>
                                <w:color w:val="000000"/>
                                <w:sz w:val="19"/>
                              </w:rPr>
                              <w:t>Form 10-Q | 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Q3 </w:t>
                      </w:r>
                      <w:r>
                        <w:rPr>
                          <w:rFonts w:ascii="Times New Roman;serif" w:hAnsi="Times New Roman;serif"/>
                          <w:b w:val="false"/>
                          <w:color w:val="000000"/>
                          <w:sz w:val="20"/>
                        </w:rPr>
                        <w:t>2025</w:t>
                      </w:r>
                      <w:r>
                        <w:rPr>
                          <w:color w:val="000000"/>
                        </w:rPr>
                        <w:t xml:space="preserve"> </w:t>
                      </w:r>
                      <w:r>
                        <w:rPr>
                          <w:rFonts w:ascii="Times New Roman;serif" w:hAnsi="Times New Roman;serif"/>
                          <w:b w:val="false"/>
                          <w:color w:val="000000"/>
                          <w:sz w:val="19"/>
                        </w:rPr>
                        <w:t>Form 10-Q | 41</w:t>
                      </w:r>
                    </w:p>
                  </w:txbxContent>
                </v:textbox>
                <w10:wrap type="none"/>
              </v:rect>
            </w:pict>
          </mc:Fallback>
        </mc:AlternateContent>
      </w:r>
    </w:p>
    <w:p>
      <w:pPr>
        <w:pStyle w:val="TextBody"/>
        <w:bidi w:val="0"/>
        <w:spacing w:lineRule="auto" w:line="288" w:before="0" w:after="0"/>
        <w:jc w:val="left"/>
        <w:rPr/>
      </w:pPr>
      <w:hyperlink w:anchor="i004be9cfd92c48c78448e0b03d16957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00"/>
        <w:ind w:left="0" w:right="0" w:hanging="360"/>
        <w:jc w:val="left"/>
        <w:rPr/>
      </w:pPr>
      <w:r>
        <w:rPr>
          <w:color w:val="000000"/>
        </w:rPr>
        <w:t>•</w:t>
      </w:r>
      <w:r>
        <w:rPr>
          <w:rFonts w:ascii="Times New Roman;serif" w:hAnsi="Times New Roman;serif"/>
          <w:b w:val="false"/>
          <w:color w:val="000000"/>
          <w:sz w:val="20"/>
        </w:rPr>
        <w:t>The iovera° technology does not risk damage to the surrounding tissue;</w:t>
      </w:r>
    </w:p>
    <w:p>
      <w:pPr>
        <w:pStyle w:val="TextBody"/>
        <w:bidi w:val="0"/>
        <w:spacing w:lineRule="auto" w:line="288" w:before="0" w:after="100"/>
        <w:ind w:left="0" w:right="0" w:hanging="360"/>
        <w:jc w:val="left"/>
        <w:rPr/>
      </w:pPr>
      <w:r>
        <w:rPr>
          <w:color w:val="000000"/>
        </w:rPr>
        <w:t>•</w:t>
      </w:r>
      <w:r>
        <w:rPr>
          <w:rFonts w:ascii="Times New Roman;serif" w:hAnsi="Times New Roman;serif"/>
          <w:b w:val="false"/>
          <w:color w:val="000000"/>
          <w:sz w:val="20"/>
        </w:rPr>
        <w:t>iovera° is a convenient handheld device with a single-use procedure-specific Smart Tip; and</w:t>
      </w:r>
    </w:p>
    <w:p>
      <w:pPr>
        <w:pStyle w:val="TextBody"/>
        <w:bidi w:val="0"/>
        <w:spacing w:lineRule="auto" w:line="288" w:before="0" w:after="100"/>
        <w:ind w:left="0" w:right="0" w:hanging="360"/>
        <w:jc w:val="left"/>
        <w:rPr/>
      </w:pPr>
      <w:r>
        <w:rPr>
          <w:color w:val="000000"/>
        </w:rPr>
        <w:t>•</w:t>
      </w:r>
      <w:r>
        <w:rPr>
          <w:rFonts w:ascii="Times New Roman;serif" w:hAnsi="Times New Roman;serif"/>
          <w:b w:val="false"/>
          <w:color w:val="000000"/>
          <w:sz w:val="20"/>
        </w:rPr>
        <w:t>iovera° can be delivered precisely using imaging guidance or an anatomical landmark.</w:t>
      </w:r>
    </w:p>
    <w:p>
      <w:pPr>
        <w:pStyle w:val="TextBody"/>
        <w:bidi w:val="0"/>
        <w:spacing w:lineRule="auto" w:line="288" w:before="0" w:after="10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 study published in 2021 that included 267 patients undergoing TKA (169 who underwent cryoneurolysis with iovera° compared to 98 patients who did not receive iovera° treatment) showed that patients who were treated with iovera° had 51% lower daily morphine milligram equivalents during their hospital stay and a 22% lower mean pain score versus those who were not. In addition, the iovera° group had greater function at discharge, a shorter length of hospital stay and received significantly fewer opioids, including discharge prescriptions at week 2 and week 6 after surgery.</w:t>
      </w:r>
    </w:p>
    <w:p>
      <w:pPr>
        <w:pStyle w:val="TextBody"/>
        <w:bidi w:val="0"/>
        <w:spacing w:lineRule="auto" w:line="288" w:before="0" w:after="10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September 2021, the AAOS updated its evidence-based clinical practice guidelines, reporting that denervation therapy—including cryoneurolysis—may reduce knee pain and improve function in patients with symptomatic OA of the knee.</w:t>
      </w:r>
    </w:p>
    <w:p>
      <w:pPr>
        <w:pStyle w:val="TextBody"/>
        <w:bidi w:val="0"/>
        <w:spacing w:lineRule="auto" w:line="288" w:before="0" w:after="10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December 2024, we received FDA clearance to market a new iovera° Smart Tip designed to access the medial branch nerves to manage chronic low back pain. Millions of Americans suffer from chronic low back pain. It often leads to poor quality of life, disability, lost wages, and persistent prescription opioid use. The first phase of the launch is underway with an initial focus on spine key opinion leaders to gather insights and feedback before expanding to a broader targeted audience. A pilot randomized control trial evaluating iovera° versus radiofrequency ablation for the treatment of lower back pain showed that iovera° had significantly greater improvements in pain and disability and required fewer injections over a year.</w:t>
      </w:r>
    </w:p>
    <w:p>
      <w:pPr>
        <w:pStyle w:val="TextBody"/>
        <w:bidi w:val="0"/>
        <w:spacing w:lineRule="auto" w:line="288" w:before="0" w:after="10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Beyond treatment for pain, observational data has been presented at multiple congresses showing effectiveness of iovera° for the treatment of upper limb spasticity over 90 days by targeting motor nerves. We are advancing a registration trial to evaluate the efficacy and safety of iovera° for treating spasticity.</w:t>
      </w:r>
    </w:p>
    <w:p>
      <w:pPr>
        <w:pStyle w:val="TextBody"/>
        <w:bidi w:val="0"/>
        <w:spacing w:lineRule="auto" w:line="288" w:before="0" w:after="100"/>
        <w:jc w:val="left"/>
        <w:rPr>
          <w:rFonts w:ascii="Times New Roman;serif" w:hAnsi="Times New Roman;serif"/>
          <w:b/>
          <w:color w:val="000000"/>
          <w:sz w:val="20"/>
        </w:rPr>
      </w:pPr>
      <w:r>
        <w:rPr>
          <w:rFonts w:ascii="Times New Roman;serif" w:hAnsi="Times New Roman;serif"/>
          <w:b/>
          <w:color w:val="000000"/>
          <w:sz w:val="20"/>
        </w:rPr>
        <w:t>Innovations in Genicular Outcomes Registry (IGOR)</w:t>
      </w:r>
    </w:p>
    <w:p>
      <w:pPr>
        <w:pStyle w:val="TextBody"/>
        <w:bidi w:val="0"/>
        <w:spacing w:lineRule="auto" w:line="288" w:before="0" w:after="10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We are currently sponsoring a prospective, real-world registry called the Innovations in Genicular Outcomes Registry, or IGOR, which is a patient-focused registry governed in collaboration with a steering committee of scientific experts that evaluates clinical, economic- and health-related patient-reported outcomes in patients who have received any treatment for knee OA pain, including TKA, for a minimum of 18 months. A unique feature of IGOR is that if patients receive additional treatments for OA, data capture resets so that outcomes of their treatment journey can be followed over multiple years. Unlike in clinical studies, treatment decisions in IGOR are decided by physicians and patients in a shared decision-making manner rather than being driven by treatment assignment, so that outcomes are truly those from real-world applications. The IGOR registry is tracking outcomes of iovera°, ZILRETTA and EXPAREL, as well as comparator treatments. </w:t>
      </w:r>
    </w:p>
    <w:p>
      <w:pPr>
        <w:pStyle w:val="TextBody"/>
        <w:bidi w:val="0"/>
        <w:spacing w:lineRule="auto" w:line="288" w:before="0" w:after="100"/>
        <w:jc w:val="left"/>
        <w:rPr>
          <w:rFonts w:ascii="Times New Roman;serif" w:hAnsi="Times New Roman;serif"/>
          <w:b/>
          <w:color w:val="000000"/>
          <w:sz w:val="20"/>
        </w:rPr>
      </w:pPr>
      <w:r>
        <w:rPr>
          <w:rFonts w:ascii="Times New Roman;serif" w:hAnsi="Times New Roman;serif"/>
          <w:b/>
          <w:color w:val="000000"/>
          <w:sz w:val="20"/>
        </w:rPr>
        <w:t>The Osteoarthritis Market</w:t>
      </w:r>
    </w:p>
    <w:p>
      <w:pPr>
        <w:pStyle w:val="TextBody"/>
        <w:bidi w:val="0"/>
        <w:spacing w:lineRule="auto" w:line="288" w:before="0" w:after="10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OA is the most common form of arthritis. It is also called degenerative joint disease and occurs most frequently in the hands, hips and knees. With OA, the cartilage within a joint begins to break down and the underlying bone begins to change. These changes usually develop slowly and worsen over time. OA can cause pain, stiffness and swelling. In some cases, it also causes reduced function and disability—some people are no longer able to do daily tasks or work. According to the Centers for Disease Control and Prevention (CDC), OA affects over 32.5 million adults in the U.S.</w:t>
      </w:r>
    </w:p>
    <w:p>
      <w:pPr>
        <w:pStyle w:val="TextBody"/>
        <w:bidi w:val="0"/>
        <w:spacing w:lineRule="auto" w:line="288" w:before="0" w:after="10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lifetime risk of developing symptomatic knee OA is 45 percent according to the Arthritis Foundation. The prevalence of symptomatic knee OA increases with each decade of life, with the annual incidence of knee OA being highest between age 55 and 64 years old. There are 15 million individuals in the U.S. who have symptomatic knee OA, and nearly two million are under the age of 45. Surgical intervention is typically a last resort for patients suffering from OA of the knee.</w:t>
      </w:r>
    </w:p>
    <w:p>
      <w:pPr>
        <w:pStyle w:val="TextBody"/>
        <w:bidi w:val="0"/>
        <w:spacing w:lineRule="auto" w:line="288" w:before="0" w:after="100"/>
        <w:ind w:left="0" w:right="0" w:firstLine="446"/>
        <w:jc w:val="left"/>
        <w:rPr>
          <w:rFonts w:ascii="Times New Roman;serif" w:hAnsi="Times New Roman;serif"/>
          <w:b w:val="false"/>
          <w:color w:val="000000"/>
          <w:sz w:val="20"/>
        </w:rPr>
      </w:pPr>
      <w:r>
        <w:rPr>
          <w:rFonts w:ascii="Times New Roman;serif" w:hAnsi="Times New Roman;serif"/>
          <w:b w:val="false"/>
          <w:color w:val="000000"/>
          <w:sz w:val="20"/>
        </w:rPr>
        <w:t>Clinicians have the flexibility to individualize OA knee pain treatment with either ZILRETTA or a drug-free nerve block with iovera° based on patient factors and preference, physician training, site of care and reimbursement considerations.</w:t>
      </w:r>
    </w:p>
    <w:p>
      <w:pPr>
        <w:pStyle w:val="TextBody"/>
        <w:bidi w:val="0"/>
        <w:spacing w:lineRule="auto" w:line="288" w:before="0" w:after="100"/>
        <w:jc w:val="left"/>
        <w:rPr>
          <w:rFonts w:ascii="Times New Roman;serif" w:hAnsi="Times New Roman;serif"/>
          <w:b/>
          <w:color w:val="000000"/>
          <w:sz w:val="20"/>
        </w:rPr>
      </w:pPr>
      <w:r>
        <w:rPr>
          <w:rFonts w:ascii="Times New Roman;serif" w:hAnsi="Times New Roman;serif"/>
          <w:b/>
          <w:color w:val="000000"/>
          <w:sz w:val="20"/>
        </w:rPr>
        <w:t>The HCAd Vector Platform</w:t>
      </w:r>
    </w:p>
    <w:p>
      <w:pPr>
        <w:pStyle w:val="TextBody"/>
        <w:bidi w:val="0"/>
        <w:spacing w:lineRule="auto" w:line="288" w:before="100" w:after="283"/>
        <w:ind w:left="0" w:right="0" w:firstLine="446"/>
        <w:jc w:val="left"/>
        <w:rPr>
          <w:rFonts w:ascii="Times New Roman;serif" w:hAnsi="Times New Roman;serif"/>
          <w:b w:val="false"/>
          <w:color w:val="000000"/>
          <w:sz w:val="20"/>
        </w:rPr>
      </w:pPr>
      <w:r>
        <w:rPr>
          <w:rFonts w:ascii="Times New Roman;serif" w:hAnsi="Times New Roman;serif"/>
          <w:b w:val="false"/>
          <w:color w:val="000000"/>
          <w:sz w:val="20"/>
        </w:rPr>
        <w:t>Our proprietary HCAd vector platform solves many of the challenges in the field of genetic medicine that have prevented its utilization in treating common diseases like OA. Key features include:</w:t>
      </w:r>
    </w:p>
    <w:p>
      <w:pPr>
        <w:pStyle w:val="TextBody"/>
        <w:bidi w:val="0"/>
        <w:spacing w:lineRule="auto" w:line="288" w:before="100" w:after="283"/>
        <w:ind w:left="0" w:right="0" w:hanging="270"/>
        <w:jc w:val="left"/>
        <w:rPr/>
      </w:pPr>
      <w:r>
        <w:rPr>
          <w:color w:val="000000"/>
        </w:rPr>
        <w:t>•</w:t>
      </w:r>
      <w:r>
        <w:rPr>
          <w:rFonts w:ascii="Times New Roman;serif" w:hAnsi="Times New Roman;serif"/>
          <w:b w:val="false"/>
          <w:color w:val="000000"/>
          <w:sz w:val="20"/>
        </w:rPr>
        <w:t>The HCAd vector is much more efficient at delivering genes into cells compared to many other gene therapies that rely on adenovirus associated virus, or AAV, vectors. As a result, the desired effect can be achieved with much smaller doses;</w:t>
      </w:r>
    </w:p>
    <w:p>
      <w:pPr>
        <w:pStyle w:val="TextBody"/>
        <w:bidi w:val="0"/>
        <w:spacing w:lineRule="auto" w:line="288" w:before="100" w:after="283"/>
        <w:ind w:left="0" w:right="0" w:hanging="270"/>
        <w:jc w:val="left"/>
        <w:rPr/>
      </w:pPr>
      <w:r>
        <w:rPr>
          <w:color w:val="000000"/>
        </w:rPr>
        <w:t>•</w:t>
      </w:r>
      <w:r>
        <w:rPr>
          <w:rFonts w:ascii="Times New Roman;serif" w:hAnsi="Times New Roman;serif"/>
          <w:b w:val="false"/>
          <w:color w:val="000000"/>
          <w:sz w:val="20"/>
        </w:rPr>
        <w:t>The vector used in the HCAd platform can carry up to 30,000 base pairs of DNA, which enables gene therapy with multiple or larger genes compared to AAV vectors; and</w:t>
      </w:r>
    </w:p>
    <w:p>
      <w:pPr>
        <w:pStyle w:val="TextBody"/>
        <w:bidi w:val="0"/>
        <w:spacing w:lineRule="auto" w:line="288" w:before="100" w:after="283"/>
        <w:ind w:left="0" w:right="0" w:hanging="270"/>
        <w:jc w:val="left"/>
        <w:rPr/>
      </w:pPr>
      <w:r>
        <w:rPr>
          <w:color w:val="000000"/>
        </w:rPr>
        <w:t>•</w:t>
      </w:r>
      <w:r>
        <w:rPr>
          <w:rFonts w:ascii="Times New Roman;serif" w:hAnsi="Times New Roman;serif"/>
          <w:b w:val="false"/>
          <w:color w:val="000000"/>
          <w:sz w:val="20"/>
        </w:rPr>
        <w:t>Genetic medicines based on the HCAd platform can be administered locally and have the potential for redosing at therapeutically appropriate intervals.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44"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Q3 </w:t>
                            </w:r>
                            <w:r>
                              <w:rPr>
                                <w:rFonts w:ascii="Times New Roman;serif" w:hAnsi="Times New Roman;serif"/>
                                <w:b w:val="false"/>
                                <w:color w:val="000000"/>
                                <w:sz w:val="20"/>
                              </w:rPr>
                              <w:t>2025</w:t>
                            </w:r>
                            <w:r>
                              <w:rPr>
                                <w:color w:val="000000"/>
                              </w:rPr>
                              <w:t xml:space="preserve"> </w:t>
                            </w:r>
                            <w:r>
                              <w:rPr>
                                <w:rFonts w:ascii="Times New Roman;serif" w:hAnsi="Times New Roman;serif"/>
                                <w:b w:val="false"/>
                                <w:color w:val="000000"/>
                                <w:sz w:val="19"/>
                              </w:rPr>
                              <w:t>Form 10-Q | 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Q3 </w:t>
                      </w:r>
                      <w:r>
                        <w:rPr>
                          <w:rFonts w:ascii="Times New Roman;serif" w:hAnsi="Times New Roman;serif"/>
                          <w:b w:val="false"/>
                          <w:color w:val="000000"/>
                          <w:sz w:val="20"/>
                        </w:rPr>
                        <w:t>2025</w:t>
                      </w:r>
                      <w:r>
                        <w:rPr>
                          <w:color w:val="000000"/>
                        </w:rPr>
                        <w:t xml:space="preserve"> </w:t>
                      </w:r>
                      <w:r>
                        <w:rPr>
                          <w:rFonts w:ascii="Times New Roman;serif" w:hAnsi="Times New Roman;serif"/>
                          <w:b w:val="false"/>
                          <w:color w:val="000000"/>
                          <w:sz w:val="19"/>
                        </w:rPr>
                        <w:t>Form 10-Q | 42</w:t>
                      </w:r>
                    </w:p>
                  </w:txbxContent>
                </v:textbox>
                <w10:wrap type="none"/>
              </v:rect>
            </w:pict>
          </mc:Fallback>
        </mc:AlternateContent>
      </w:r>
    </w:p>
    <w:p>
      <w:pPr>
        <w:pStyle w:val="TextBody"/>
        <w:bidi w:val="0"/>
        <w:spacing w:lineRule="auto" w:line="288" w:before="0" w:after="0"/>
        <w:jc w:val="left"/>
        <w:rPr/>
      </w:pPr>
      <w:hyperlink w:anchor="i004be9cfd92c48c78448e0b03d16957e_7">
        <w:r>
          <w:rPr>
            <w:rStyle w:val="InternetLink"/>
            <w:rFonts w:ascii="Times New Roman;serif" w:hAnsi="Times New Roman;serif"/>
            <w:b w:val="false"/>
            <w:color w:val="0000FF"/>
            <w:sz w:val="20"/>
            <w:u w:val="single"/>
          </w:rPr>
          <w:t>Table of Contents</w:t>
        </w:r>
      </w:hyperlink>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Lower dose levels mean that thousands of doses can be produced in a single batch. As a result, we expect that any therapies built on the HCAd platform would have a commercially attractive and viable cost of goods profile.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Clinical Development Programs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PCRX-201</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PCRX-201 is the lead program from our HCAd platform and we believe it underscores its promise for treating common diseases given its encouraging data in OA. PCRX-201 is targeting the IL-1 pathway, which triggers inflammation in response to pathogens and cellular stress. IL-1Ra is a core regulator of this pathway and helps to keep inflammation in balance by turning off the IL-1 pathway when it’s not needed. As people get older, their bodies have a more challenging time maintaining that balance resulting in chronic IL-1-driven inflammation that eventually causes joint damage and pain.</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After injection of PCRX-201, the HCAd vector enters joint cells and turns them into factories to boost cellular IL-1Ra production, which blocks IL-1 pathway activation to reduce inflammation and pain in the knee. PCRX-201 uses an inflammation-responsive promoter to only produce IL-1Ra when needed, mimicking how the body naturally responds to inflammation. In a Phase 1 proof-of-concept study of patients with moderate to severe OA of the knee, PCRX-201 was well tolerated with improvements in knee pain observed across all doses. The study enrolled 72 patients who were broken into two cohorts. The first cohort received one of three doses of PCRX-201. The second cohort received concurrent pre-treatment with an IA corticosteroid (methylprednisolone 40 mg), a technique common in gene therapy dosing to improve tolerability and gene transfer. PCRX-201 was well tolerated, with efficacy observed through at least 52 weeks at all doses and cohorts. The highest level of efficacy was achieved in the co-administered steroid group, which showed a greater percentage of patients with at least a 50% improvement in Western Ontario and McMaster Universities Osteoarthritis Index (WOMAC) pain and stiffness scores, as well as a meaningful improvement in Knee Injury and Osteoarthritis Outcomes Score (KOOS) functional assessment. In all 3 doses, over 70% of patients saw a 50% or greater improvement in pain compared to baseline at week 16 and 78. PCRX-201 was well-tolerated with no serious treatment-emergent adverse events related to the treatment or procedure reported regardless of steroid pretreatment or dose level administered. While other therapies typically provide relief for three to six months, PCRX-201 has shown the potential to set a new standard with pain relief lasting at least 2 years from a single injection.</w:t>
      </w:r>
    </w:p>
    <w:p>
      <w:pPr>
        <w:pStyle w:val="TextBody"/>
        <w:bidi w:val="0"/>
        <w:spacing w:lineRule="auto" w:line="288" w:before="100" w:after="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Given these highly encouraging Phase 1 data, we are advancing a Phase 2 clinical study in knee OA. The two-part, multicenter study—known as ASCEND—will involve approximately 135 patients, 45 to 80 years old with painful OA of the knee at a Kellgren-Lawrence (K-L) Grade of 2, 3 or 4. Subjects are randomly assigned to a treatment dose group and stratified by K-L Grade, a semiquantitative method for evaluating the severity of OA on a scale of 0-4.</w:t>
      </w:r>
    </w:p>
    <w:p>
      <w:pPr>
        <w:pStyle w:val="TextBody"/>
        <w:bidi w:val="0"/>
        <w:spacing w:lineRule="auto" w:line="288" w:before="100" w:after="283"/>
        <w:ind w:left="0" w:right="0" w:firstLine="450"/>
        <w:jc w:val="left"/>
        <w:rPr/>
      </w:pPr>
      <w:r>
        <w:rPr>
          <w:rFonts w:ascii="Times New Roman;serif" w:hAnsi="Times New Roman;serif"/>
          <w:b w:val="false"/>
          <w:color w:val="000000"/>
          <w:sz w:val="20"/>
        </w:rPr>
        <w:t>ASCEND will evaluate two doses of PCRX-201, Dose A is 1.4 x 10</w:t>
      </w:r>
      <w:r>
        <w:rPr>
          <w:rFonts w:ascii="Times New Roman;serif" w:hAnsi="Times New Roman;serif"/>
          <w:b w:val="false"/>
          <w:color w:val="000000"/>
          <w:sz w:val="13"/>
        </w:rPr>
        <w:t>10</w:t>
      </w:r>
      <w:r>
        <w:rPr>
          <w:color w:val="000000"/>
        </w:rPr>
        <w:t xml:space="preserve"> </w:t>
      </w:r>
      <w:r>
        <w:rPr>
          <w:rFonts w:ascii="Times New Roman;serif" w:hAnsi="Times New Roman;serif"/>
          <w:b w:val="false"/>
          <w:color w:val="000000"/>
          <w:sz w:val="20"/>
        </w:rPr>
        <w:t>genome copies and Dose B is 1.4 x 10</w:t>
      </w:r>
      <w:r>
        <w:rPr>
          <w:rFonts w:ascii="Times New Roman;serif" w:hAnsi="Times New Roman;serif"/>
          <w:b w:val="false"/>
          <w:color w:val="000000"/>
          <w:sz w:val="13"/>
        </w:rPr>
        <w:t>11</w:t>
      </w:r>
      <w:r>
        <w:rPr>
          <w:color w:val="000000"/>
        </w:rPr>
        <w:t xml:space="preserve"> </w:t>
      </w:r>
      <w:r>
        <w:rPr>
          <w:rFonts w:ascii="Times New Roman;serif" w:hAnsi="Times New Roman;serif"/>
          <w:b w:val="false"/>
          <w:color w:val="000000"/>
          <w:sz w:val="20"/>
        </w:rPr>
        <w:t>genome copies. Patients are being randomized 1:1:1 to Dose A, Dose B or saline. All cohorts will receive concurrent pretreatment with an IA corticosteroid (methylprednisolone 40 mg).</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Part A of the study randomized approximately 45 patients and Part B will randomize approximately 90 patients. The drug product used in Part B of the study will be manufactured using our newly developed, suspension-based batch manufacturing process intended for commercial scale-up. We recently achieved our enrollment target for Part A of the study and expect to report results from a pre-specified interim analysis before the end of 2026.</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For both Parts A and B of the study, the primary endpoint is the number and percent of treatment-emergent adverse events, adverse events of special interest, and serious adverse events for PCRX-201 plus steroid pretreatment versus saline plus steroid pretreatment from Week 1 through Week 52. The study’s secondary and exploratory endpoints include efficacy assessments such as changes in pain and physical function from baseline at Weeks 38 and 52. Efficacy will be measured using the Numerical Rating Scale (NRS), WOMAC and KOOS. Biomarkers, including structural endpoints, as well as immunogenicity and biodistribution will also be evaluated and all subjects will be followed for 5 years.</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PCRX-201 has received Regenerative Medicine Advanced Therapy, or RMAT, designation from the FDA and Advanced Therapy Medicinal Products, or ATMP, designation from the EMA. RMAT and ATMP are regulatory programs designed to expedite the development and review processes for promising therapies targeting a significant unmet need with preliminary clinical evidence indicating that the therapy has the potential to offer a major advantage over existing treatments.</w:t>
      </w:r>
    </w:p>
    <w:p>
      <w:pPr>
        <w:pStyle w:val="TextBody"/>
        <w:bidi w:val="0"/>
        <w:spacing w:lineRule="auto" w:line="288" w:before="100" w:after="283"/>
        <w:jc w:val="left"/>
        <w:rPr>
          <w:rFonts w:ascii="Times New Roman;serif" w:hAnsi="Times New Roman;serif"/>
          <w:b/>
          <w:i/>
          <w:color w:val="000000"/>
          <w:sz w:val="20"/>
        </w:rPr>
      </w:pPr>
      <w:r>
        <w:rPr>
          <w:rFonts w:ascii="Times New Roman;serif" w:hAnsi="Times New Roman;serif"/>
          <w:b/>
          <w:i/>
          <w:color w:val="000000"/>
          <w:sz w:val="20"/>
        </w:rPr>
        <w:t>Other HCAd Product Candidates</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addition to PCRX-201, we currently have prioritized three other preclinical HCAd-based gene therapy programs that we believe have disease modifying potential in other painful conditions. These include Investigational New Drug (IND) enabling studies of PCRX-1002 for Dry Eye Disease and PCRX-1003 for Degenerative Disc Disease. We also intend to conduct animal studies for PCRX-1001, which we believe has out-licensing potential for OA in dogs and other companion animals.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45"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Q3 </w:t>
                            </w:r>
                            <w:r>
                              <w:rPr>
                                <w:rFonts w:ascii="Times New Roman;serif" w:hAnsi="Times New Roman;serif"/>
                                <w:b w:val="false"/>
                                <w:color w:val="000000"/>
                                <w:sz w:val="20"/>
                              </w:rPr>
                              <w:t>2025</w:t>
                            </w:r>
                            <w:r>
                              <w:rPr>
                                <w:color w:val="000000"/>
                              </w:rPr>
                              <w:t xml:space="preserve"> </w:t>
                            </w:r>
                            <w:r>
                              <w:rPr>
                                <w:rFonts w:ascii="Times New Roman;serif" w:hAnsi="Times New Roman;serif"/>
                                <w:b w:val="false"/>
                                <w:color w:val="000000"/>
                                <w:sz w:val="19"/>
                              </w:rPr>
                              <w:t>Form 10-Q | 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Q3 </w:t>
                      </w:r>
                      <w:r>
                        <w:rPr>
                          <w:rFonts w:ascii="Times New Roman;serif" w:hAnsi="Times New Roman;serif"/>
                          <w:b w:val="false"/>
                          <w:color w:val="000000"/>
                          <w:sz w:val="20"/>
                        </w:rPr>
                        <w:t>2025</w:t>
                      </w:r>
                      <w:r>
                        <w:rPr>
                          <w:color w:val="000000"/>
                        </w:rPr>
                        <w:t xml:space="preserve"> </w:t>
                      </w:r>
                      <w:r>
                        <w:rPr>
                          <w:rFonts w:ascii="Times New Roman;serif" w:hAnsi="Times New Roman;serif"/>
                          <w:b w:val="false"/>
                          <w:color w:val="000000"/>
                          <w:sz w:val="19"/>
                        </w:rPr>
                        <w:t>Form 10-Q | 43</w:t>
                      </w:r>
                    </w:p>
                  </w:txbxContent>
                </v:textbox>
                <w10:wrap type="none"/>
              </v:rect>
            </w:pict>
          </mc:Fallback>
        </mc:AlternateContent>
      </w:r>
    </w:p>
    <w:p>
      <w:pPr>
        <w:pStyle w:val="TextBody"/>
        <w:bidi w:val="0"/>
        <w:spacing w:lineRule="auto" w:line="288" w:before="0" w:after="0"/>
        <w:jc w:val="left"/>
        <w:rPr/>
      </w:pPr>
      <w:hyperlink w:anchor="i004be9cfd92c48c78448e0b03d16957e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180"/>
        <w:jc w:val="left"/>
        <w:rPr>
          <w:rFonts w:ascii="Times New Roman;serif" w:hAnsi="Times New Roman;serif"/>
          <w:b/>
          <w:i/>
          <w:color w:val="000000"/>
          <w:sz w:val="20"/>
        </w:rPr>
      </w:pPr>
      <w:r>
        <w:rPr>
          <w:rFonts w:ascii="Times New Roman;serif" w:hAnsi="Times New Roman;serif"/>
          <w:b/>
          <w:i/>
          <w:color w:val="000000"/>
          <w:sz w:val="20"/>
        </w:rPr>
        <w:t>Product Portfolio and Internal Pipeline</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current product portfolio and internal product candidate pipeline, along with anticipated milestones over the next 12 to 18 months, are summarized in the table below:</w:t>
      </w:r>
    </w:p>
    <w:p>
      <w:pPr>
        <w:pStyle w:val="TextBody"/>
        <w:bidi w:val="0"/>
        <w:spacing w:before="0" w:after="0"/>
        <w:jc w:val="left"/>
        <w:rPr/>
      </w:pPr>
      <w:r>
        <w:rPr/>
      </w:r>
    </w:p>
    <w:p>
      <w:pPr>
        <w:pStyle w:val="TextBody"/>
        <w:bidi w:val="0"/>
        <w:spacing w:before="0" w:after="0"/>
        <w:jc w:val="center"/>
        <w:rPr/>
      </w:pPr>
      <w:r>
        <w:rPr/>
        <w:drawing>
          <wp:inline distT="0" distB="0" distL="0" distR="0">
            <wp:extent cx="7315200" cy="5734050"/>
            <wp:effectExtent l="0" t="0" r="0" b="0"/>
            <wp:docPr id="4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2" descr=""/>
                    <pic:cNvPicPr>
                      <a:picLocks noChangeAspect="1" noChangeArrowheads="1"/>
                    </pic:cNvPicPr>
                  </pic:nvPicPr>
                  <pic:blipFill>
                    <a:blip r:embed="rId5"/>
                    <a:stretch>
                      <a:fillRect/>
                    </a:stretch>
                  </pic:blipFill>
                  <pic:spPr bwMode="auto">
                    <a:xfrm>
                      <a:off x="0" y="0"/>
                      <a:ext cx="7315200" cy="5734050"/>
                    </a:xfrm>
                    <a:prstGeom prst="rect">
                      <a:avLst/>
                    </a:prstGeom>
                  </pic:spPr>
                </pic:pic>
              </a:graphicData>
            </a:graphic>
          </wp:inline>
        </w:drawing>
      </w:r>
      <w:bookmarkStart w:id="2" w:name="i-2"/>
      <w:bookmarkEnd w:id="2"/>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7"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Q3 </w:t>
                            </w:r>
                            <w:r>
                              <w:rPr>
                                <w:rFonts w:ascii="Times New Roman;serif" w:hAnsi="Times New Roman;serif"/>
                                <w:b w:val="false"/>
                                <w:color w:val="000000"/>
                                <w:sz w:val="20"/>
                              </w:rPr>
                              <w:t>2025</w:t>
                            </w:r>
                            <w:r>
                              <w:rPr>
                                <w:color w:val="000000"/>
                              </w:rPr>
                              <w:t xml:space="preserve"> </w:t>
                            </w:r>
                            <w:r>
                              <w:rPr>
                                <w:rFonts w:ascii="Times New Roman;serif" w:hAnsi="Times New Roman;serif"/>
                                <w:b w:val="false"/>
                                <w:color w:val="000000"/>
                                <w:sz w:val="19"/>
                              </w:rPr>
                              <w:t>Form 10-Q | 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Q3 </w:t>
                      </w:r>
                      <w:r>
                        <w:rPr>
                          <w:rFonts w:ascii="Times New Roman;serif" w:hAnsi="Times New Roman;serif"/>
                          <w:b w:val="false"/>
                          <w:color w:val="000000"/>
                          <w:sz w:val="20"/>
                        </w:rPr>
                        <w:t>2025</w:t>
                      </w:r>
                      <w:r>
                        <w:rPr>
                          <w:color w:val="000000"/>
                        </w:rPr>
                        <w:t xml:space="preserve"> </w:t>
                      </w:r>
                      <w:r>
                        <w:rPr>
                          <w:rFonts w:ascii="Times New Roman;serif" w:hAnsi="Times New Roman;serif"/>
                          <w:b w:val="false"/>
                          <w:color w:val="000000"/>
                          <w:sz w:val="19"/>
                        </w:rPr>
                        <w:t>Form 10-Q | 44</w:t>
                      </w:r>
                    </w:p>
                  </w:txbxContent>
                </v:textbox>
                <w10:wrap type="none"/>
              </v:rect>
            </w:pict>
          </mc:Fallback>
        </mc:AlternateContent>
      </w:r>
    </w:p>
    <w:p>
      <w:pPr>
        <w:pStyle w:val="TextBody"/>
        <w:bidi w:val="0"/>
        <w:spacing w:lineRule="auto" w:line="288" w:before="0" w:after="0"/>
        <w:jc w:val="left"/>
        <w:rPr/>
      </w:pPr>
      <w:hyperlink w:anchor="i004be9cfd92c48c78448e0b03d16957e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 xml:space="preserve">Comparison of the Three and Nine Months Ended September 30, 2025 and 2024 </w:t>
      </w:r>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Revenues</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Net product sales consist of sales of (i) EXPAREL in the U.S., E.U., and the United Kingdom, or U.K.; (ii) ZILRETTA in the U.S.; (iii) iovera° in the U.S., Canada, the E.U., and the U.K. and (iv) sales of our bupivacaine liposome injectable suspension product for veterinary use. Royalty revenues are related to a collaborative licensing agreement from the sale of our bupivacaine liposome injectable suspension for veterinary use.</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information regarding our revenues during the periods indicated, including percent changes (dollar amounts in thousands):</w:t>
      </w:r>
    </w:p>
    <w:tbl>
      <w:tblPr>
        <w:tblW w:w="10205" w:type="dxa"/>
        <w:jc w:val="left"/>
        <w:tblInd w:w="0" w:type="dxa"/>
        <w:tblLayout w:type="fixed"/>
        <w:tblCellMar>
          <w:top w:w="28" w:type="dxa"/>
          <w:left w:w="28" w:type="dxa"/>
          <w:bottom w:w="28" w:type="dxa"/>
          <w:right w:w="28" w:type="dxa"/>
        </w:tblCellMar>
      </w:tblPr>
      <w:tblGrid>
        <w:gridCol w:w="717"/>
        <w:gridCol w:w="504"/>
        <w:gridCol w:w="419"/>
        <w:gridCol w:w="211"/>
        <w:gridCol w:w="826"/>
        <w:gridCol w:w="109"/>
        <w:gridCol w:w="109"/>
        <w:gridCol w:w="109"/>
        <w:gridCol w:w="109"/>
        <w:gridCol w:w="211"/>
        <w:gridCol w:w="826"/>
        <w:gridCol w:w="109"/>
        <w:gridCol w:w="109"/>
        <w:gridCol w:w="109"/>
        <w:gridCol w:w="109"/>
        <w:gridCol w:w="382"/>
        <w:gridCol w:w="382"/>
        <w:gridCol w:w="384"/>
        <w:gridCol w:w="109"/>
        <w:gridCol w:w="109"/>
        <w:gridCol w:w="109"/>
        <w:gridCol w:w="211"/>
        <w:gridCol w:w="826"/>
        <w:gridCol w:w="109"/>
        <w:gridCol w:w="109"/>
        <w:gridCol w:w="109"/>
        <w:gridCol w:w="109"/>
        <w:gridCol w:w="211"/>
        <w:gridCol w:w="826"/>
        <w:gridCol w:w="109"/>
        <w:gridCol w:w="109"/>
        <w:gridCol w:w="109"/>
        <w:gridCol w:w="109"/>
        <w:gridCol w:w="349"/>
        <w:gridCol w:w="349"/>
        <w:gridCol w:w="500"/>
      </w:tblGrid>
      <w:tr>
        <w:trPr/>
        <w:tc>
          <w:tcPr>
            <w:tcW w:w="717"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r>
      <w:tr>
        <w:trPr/>
        <w:tc>
          <w:tcPr>
            <w:tcW w:w="1640" w:type="dxa"/>
            <w:gridSpan w:val="3"/>
            <w:tcBorders>
              <w:top w:val="single" w:sz="8" w:space="0" w:color="FFFFFF"/>
              <w:left w:val="single" w:sz="8" w:space="0" w:color="FFFFFF"/>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September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vMerge w:val="restart"/>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Increase / (Decrease)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w:t>
              <w:br/>
              <w:t>September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vMerge w:val="restart"/>
            <w:tcBorders>
              <w:top w:val="single" w:sz="8" w:space="0" w:color="FFFFF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Increase / (Decrease)</w:t>
            </w:r>
          </w:p>
        </w:tc>
      </w:tr>
      <w:tr>
        <w:trPr/>
        <w:tc>
          <w:tcPr>
            <w:tcW w:w="16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vMerge w:val="continue"/>
            <w:tcBorders>
              <w:top w:val="single" w:sz="8" w:space="0" w:color="FFFFFF"/>
            </w:tcBorders>
            <w:tcMar>
              <w:top w:w="3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vMerge w:val="continue"/>
            <w:tcBorders>
              <w:top w:val="single" w:sz="8" w:space="0" w:color="FFFFFF"/>
            </w:tcBorders>
            <w:shd w:fill="FFFFFF" w:val="clear"/>
            <w:tcMar>
              <w:top w:w="30" w:type="dxa"/>
              <w:left w:w="0" w:type="dxa"/>
              <w:bottom w:w="0" w:type="dxa"/>
              <w:right w:w="0" w:type="dxa"/>
            </w:tcMar>
            <w:vAlign w:val="center"/>
          </w:tcPr>
          <w:p>
            <w:pPr>
              <w:pStyle w:val="Normal"/>
              <w:bidi w:val="0"/>
              <w:jc w:val="left"/>
              <w:rPr/>
            </w:pPr>
            <w:r>
              <w:rPr/>
            </w:r>
          </w:p>
        </w:tc>
      </w:tr>
      <w:tr>
        <w:trPr/>
        <w:tc>
          <w:tcPr>
            <w:tcW w:w="16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vMerge w:val="continue"/>
            <w:tcBorders>
              <w:top w:val="single" w:sz="8" w:space="0" w:color="FFFFFF"/>
            </w:tcBorders>
            <w:tcMar>
              <w:top w:w="3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vMerge w:val="continue"/>
            <w:tcBorders>
              <w:top w:val="single" w:sz="8" w:space="0" w:color="FFFFFF"/>
            </w:tcBorders>
            <w:shd w:fill="FFFFFF" w:val="clear"/>
            <w:tcMar>
              <w:top w:w="30" w:type="dxa"/>
              <w:left w:w="0" w:type="dxa"/>
              <w:bottom w:w="0" w:type="dxa"/>
              <w:right w:w="0" w:type="dxa"/>
            </w:tcMar>
            <w:vAlign w:val="center"/>
          </w:tcPr>
          <w:p>
            <w:pPr>
              <w:pStyle w:val="Normal"/>
              <w:bidi w:val="0"/>
              <w:jc w:val="left"/>
              <w:rPr/>
            </w:pPr>
            <w:r>
              <w:rPr/>
            </w:r>
          </w:p>
        </w:tc>
      </w:tr>
      <w:tr>
        <w:trPr/>
        <w:tc>
          <w:tcPr>
            <w:tcW w:w="1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product sales: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EXPAREL</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139,902 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132,004 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419,348 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401,286 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w:t>
            </w:r>
          </w:p>
        </w:tc>
      </w:tr>
      <w:tr>
        <w:trPr/>
        <w:tc>
          <w:tcPr>
            <w:tcW w:w="1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ZILRETTA</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83,654 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84,966 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r>
      <w:tr>
        <w:trPr/>
        <w:tc>
          <w:tcPr>
            <w:tcW w:w="1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iovera°</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w:t>
            </w:r>
          </w:p>
        </w:tc>
      </w:tr>
      <w:tr>
        <w:trPr/>
        <w:tc>
          <w:tcPr>
            <w:tcW w:w="1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Bupivacaine liposome injectable suspension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w:t>
            </w:r>
          </w:p>
        </w:tc>
      </w:tr>
      <w:tr>
        <w:trPr/>
        <w:tc>
          <w:tcPr>
            <w:tcW w:w="1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product sales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178,040 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167,722 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525,981 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509,933 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r>
      <w:tr>
        <w:trPr/>
        <w:tc>
          <w:tcPr>
            <w:tcW w:w="1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Royalty revenue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w:t>
            </w:r>
          </w:p>
        </w:tc>
      </w:tr>
      <w:tr>
        <w:trPr/>
        <w:tc>
          <w:tcPr>
            <w:tcW w:w="164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1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179,516 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168,573 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529,538 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513,713 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r>
    </w:tbl>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EXPAREL revenue increased 6% and 5% in the three and nine months ended September 30, 2025 versus 2024, respectively. Components of the increase included a 9% and 6% increase in gross vial volume in the three and nine months ended September 30, 2025 versus 2024, respectively, partially offset by a shift in product mix and decreases in net selling price per unit in both the three and nine months ended September 30, 2025 versus 2024. The decrease in net selling price per unit relates to increases in sales-related allowances as a result of group purchasing organization contracting, partially offset by a January 2025 price increase.</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ZILRETTA revenue increased 2% in the three months ended September 30, 2025 versus 2024 due to a 1% increase in net selling price per unit and a 1% increase in kit volume. ZILRETTA revenue decreased 2% in the nine months ended September 30, 2025 versus 2024 due to a 4% decrease in kit volume, partially offset by a 2% increase in net selling price per unit. Both periods’ increase in net selling price per unit is related to a 4% increase in gross selling price per unit, partially offset by higher sales-related allowances. For the nine months ended September 30, 2025, ZILRETTA volume was impacted by the onboarding of a new field-based team to support ZILRETTA after realigning our existing sales force to focus on EXPAREL. This transition impacted sales in 2025 as ZILRETTA is a promotionally sensitive product.</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Net product sales of iovera° increased 14% and 5% in the three and nine months ended September 30, 2025 versus 2024, respectively, driven by increases in Smart Tip volume of 16% and 7%, partially offset by decreases in Smart Tip net selling price of 1% and 2%.</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Bupivacaine liposome injectable suspension revenue increased 64% in the three months ended and decreased 21% in the nine months ended September 30, 2025 versus 2024, respectively, due to timing of orders placed by our commercial partner for veterinary use. Its related royalties increased 73% in the three months ended and decreased 6% in the nine months ended September 30, 2025 versus 2024, respectively, primarily due to both the timing of orders and the sales mix of vial sizes.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8" name="Frame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Q3 </w:t>
                            </w:r>
                            <w:r>
                              <w:rPr>
                                <w:rFonts w:ascii="Times New Roman;serif" w:hAnsi="Times New Roman;serif"/>
                                <w:b w:val="false"/>
                                <w:color w:val="000000"/>
                                <w:sz w:val="20"/>
                              </w:rPr>
                              <w:t>2025</w:t>
                            </w:r>
                            <w:r>
                              <w:rPr>
                                <w:color w:val="000000"/>
                              </w:rPr>
                              <w:t xml:space="preserve"> </w:t>
                            </w:r>
                            <w:r>
                              <w:rPr>
                                <w:rFonts w:ascii="Times New Roman;serif" w:hAnsi="Times New Roman;serif"/>
                                <w:b w:val="false"/>
                                <w:color w:val="000000"/>
                                <w:sz w:val="19"/>
                              </w:rPr>
                              <w:t>Form 10-Q | 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Q3 </w:t>
                      </w:r>
                      <w:r>
                        <w:rPr>
                          <w:rFonts w:ascii="Times New Roman;serif" w:hAnsi="Times New Roman;serif"/>
                          <w:b w:val="false"/>
                          <w:color w:val="000000"/>
                          <w:sz w:val="20"/>
                        </w:rPr>
                        <w:t>2025</w:t>
                      </w:r>
                      <w:r>
                        <w:rPr>
                          <w:color w:val="000000"/>
                        </w:rPr>
                        <w:t xml:space="preserve"> </w:t>
                      </w:r>
                      <w:r>
                        <w:rPr>
                          <w:rFonts w:ascii="Times New Roman;serif" w:hAnsi="Times New Roman;serif"/>
                          <w:b w:val="false"/>
                          <w:color w:val="000000"/>
                          <w:sz w:val="19"/>
                        </w:rPr>
                        <w:t>Form 10-Q | 45</w:t>
                      </w:r>
                    </w:p>
                  </w:txbxContent>
                </v:textbox>
                <w10:wrap type="none"/>
              </v:rect>
            </w:pict>
          </mc:Fallback>
        </mc:AlternateContent>
      </w:r>
    </w:p>
    <w:p>
      <w:pPr>
        <w:pStyle w:val="TextBody"/>
        <w:bidi w:val="0"/>
        <w:spacing w:lineRule="auto" w:line="288" w:before="0" w:after="0"/>
        <w:jc w:val="left"/>
        <w:rPr/>
      </w:pPr>
      <w:hyperlink w:anchor="i004be9cfd92c48c78448e0b03d16957e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tables provide a summary of activity with respect to our sales-related allowances and accruals related to EXPAREL and ZILRETTA for the nine months ended September 30, 2025 and 2024 (in thousands):</w:t>
      </w:r>
    </w:p>
    <w:tbl>
      <w:tblPr>
        <w:tblW w:w="10205" w:type="dxa"/>
        <w:jc w:val="center"/>
        <w:tblInd w:w="0" w:type="dxa"/>
        <w:tblLayout w:type="fixed"/>
        <w:tblCellMar>
          <w:top w:w="28" w:type="dxa"/>
          <w:left w:w="28" w:type="dxa"/>
          <w:bottom w:w="28" w:type="dxa"/>
          <w:right w:w="28" w:type="dxa"/>
        </w:tblCellMar>
      </w:tblPr>
      <w:tblGrid>
        <w:gridCol w:w="482"/>
        <w:gridCol w:w="403"/>
        <w:gridCol w:w="405"/>
        <w:gridCol w:w="109"/>
        <w:gridCol w:w="109"/>
        <w:gridCol w:w="109"/>
        <w:gridCol w:w="248"/>
        <w:gridCol w:w="726"/>
        <w:gridCol w:w="128"/>
        <w:gridCol w:w="109"/>
        <w:gridCol w:w="109"/>
        <w:gridCol w:w="109"/>
        <w:gridCol w:w="265"/>
        <w:gridCol w:w="776"/>
        <w:gridCol w:w="137"/>
        <w:gridCol w:w="109"/>
        <w:gridCol w:w="109"/>
        <w:gridCol w:w="109"/>
        <w:gridCol w:w="214"/>
        <w:gridCol w:w="626"/>
        <w:gridCol w:w="110"/>
        <w:gridCol w:w="109"/>
        <w:gridCol w:w="109"/>
        <w:gridCol w:w="109"/>
        <w:gridCol w:w="323"/>
        <w:gridCol w:w="946"/>
        <w:gridCol w:w="168"/>
        <w:gridCol w:w="109"/>
        <w:gridCol w:w="109"/>
        <w:gridCol w:w="109"/>
        <w:gridCol w:w="268"/>
        <w:gridCol w:w="783"/>
        <w:gridCol w:w="139"/>
        <w:gridCol w:w="109"/>
        <w:gridCol w:w="109"/>
        <w:gridCol w:w="109"/>
        <w:gridCol w:w="211"/>
        <w:gridCol w:w="721"/>
        <w:gridCol w:w="164"/>
      </w:tblGrid>
      <w:tr>
        <w:trPr/>
        <w:tc>
          <w:tcPr>
            <w:tcW w:w="482"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Returns Allowances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Prompt Payment Discounts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Service Fees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Volume Rebates and Chargebacks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Government Rebates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12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1,600 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1,308 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4,875 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4,863 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1,707 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14,353 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1,051 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10,469 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17,835 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117,974 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2,641 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149,970 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(10,296)</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(17,756)</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(117,511)</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(2,674)</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(148,808)</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September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2,080 </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1,481 </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4,954 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5,326 </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1,674 </w:t>
            </w:r>
          </w:p>
        </w:tc>
        <w:tc>
          <w:tcPr>
            <w:tcW w:w="1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15,515 </w:t>
            </w:r>
          </w:p>
        </w:tc>
        <w:tc>
          <w:tcPr>
            <w:tcW w:w="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496"/>
        <w:gridCol w:w="415"/>
        <w:gridCol w:w="418"/>
        <w:gridCol w:w="109"/>
        <w:gridCol w:w="109"/>
        <w:gridCol w:w="109"/>
        <w:gridCol w:w="252"/>
        <w:gridCol w:w="736"/>
        <w:gridCol w:w="130"/>
        <w:gridCol w:w="109"/>
        <w:gridCol w:w="109"/>
        <w:gridCol w:w="109"/>
        <w:gridCol w:w="272"/>
        <w:gridCol w:w="796"/>
        <w:gridCol w:w="140"/>
        <w:gridCol w:w="109"/>
        <w:gridCol w:w="109"/>
        <w:gridCol w:w="109"/>
        <w:gridCol w:w="215"/>
        <w:gridCol w:w="627"/>
        <w:gridCol w:w="110"/>
        <w:gridCol w:w="109"/>
        <w:gridCol w:w="109"/>
        <w:gridCol w:w="109"/>
        <w:gridCol w:w="331"/>
        <w:gridCol w:w="972"/>
        <w:gridCol w:w="173"/>
        <w:gridCol w:w="109"/>
        <w:gridCol w:w="109"/>
        <w:gridCol w:w="109"/>
        <w:gridCol w:w="240"/>
        <w:gridCol w:w="701"/>
        <w:gridCol w:w="125"/>
        <w:gridCol w:w="109"/>
        <w:gridCol w:w="109"/>
        <w:gridCol w:w="109"/>
        <w:gridCol w:w="211"/>
        <w:gridCol w:w="721"/>
        <w:gridCol w:w="162"/>
      </w:tblGrid>
      <w:tr>
        <w:trPr/>
        <w:tc>
          <w:tcPr>
            <w:tcW w:w="496"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3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Returns Allowances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Prompt Payment Discounts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Service Fees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Volume Rebates and Chargebacks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Government</w:t>
              <w:br/>
              <w:t>Rebates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13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1,868 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1,308 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3,697 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5,870 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1,175 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13,918 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1,409 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9,260 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15,109 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81,037 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1,955 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108,770 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(1,975)</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(9,360)</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(14,973)</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(82,770)</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(1,090)</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(110,168)</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September 30,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1,302 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1,208 </w:t>
            </w:r>
          </w:p>
        </w:tc>
        <w:tc>
          <w:tcPr>
            <w:tcW w:w="1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3,833 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4,137 </w:t>
            </w:r>
          </w:p>
        </w:tc>
        <w:tc>
          <w:tcPr>
            <w:tcW w:w="1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2,040 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12,520 </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Total reductions of gross product sales from sales-related allowances and accruals were $150.0 million and $108.8 million, or 22.1% and 17.6% of gross product sales, for the nine months ended September 30, 2025 and 2024, respectively. The overall 4.5% increase in sales-related allowances and accruals as a percentage of gross product sales was primarily related to accruals as a result of higher chargeback-related allowances from expanded contracting efforts.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Cost of Goods Sold </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Cost of goods sold primarily relates to the costs to produce, package and deliver our products to customers. These expenses include labor, raw materials, manufacturing overhead and occupancy costs, depreciation of facilities, quality control and engineering. </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information regarding our cost of goods sold and gross margin during the periods indicated, including percent changes (dollar amounts in thousands):</w:t>
      </w:r>
    </w:p>
    <w:tbl>
      <w:tblPr>
        <w:tblW w:w="10205" w:type="dxa"/>
        <w:jc w:val="left"/>
        <w:tblInd w:w="0" w:type="dxa"/>
        <w:tblLayout w:type="fixed"/>
        <w:tblCellMar>
          <w:top w:w="28" w:type="dxa"/>
          <w:left w:w="28" w:type="dxa"/>
          <w:bottom w:w="28" w:type="dxa"/>
          <w:right w:w="28" w:type="dxa"/>
        </w:tblCellMar>
      </w:tblPr>
      <w:tblGrid>
        <w:gridCol w:w="517"/>
        <w:gridCol w:w="434"/>
        <w:gridCol w:w="436"/>
        <w:gridCol w:w="234"/>
        <w:gridCol w:w="193"/>
        <w:gridCol w:w="483"/>
        <w:gridCol w:w="120"/>
        <w:gridCol w:w="120"/>
        <w:gridCol w:w="120"/>
        <w:gridCol w:w="234"/>
        <w:gridCol w:w="193"/>
        <w:gridCol w:w="483"/>
        <w:gridCol w:w="109"/>
        <w:gridCol w:w="109"/>
        <w:gridCol w:w="109"/>
        <w:gridCol w:w="539"/>
        <w:gridCol w:w="539"/>
        <w:gridCol w:w="541"/>
        <w:gridCol w:w="109"/>
        <w:gridCol w:w="109"/>
        <w:gridCol w:w="109"/>
        <w:gridCol w:w="225"/>
        <w:gridCol w:w="224"/>
        <w:gridCol w:w="557"/>
        <w:gridCol w:w="116"/>
        <w:gridCol w:w="116"/>
        <w:gridCol w:w="116"/>
        <w:gridCol w:w="225"/>
        <w:gridCol w:w="224"/>
        <w:gridCol w:w="557"/>
        <w:gridCol w:w="109"/>
        <w:gridCol w:w="109"/>
        <w:gridCol w:w="109"/>
        <w:gridCol w:w="488"/>
        <w:gridCol w:w="488"/>
        <w:gridCol w:w="702"/>
      </w:tblGrid>
      <w:tr>
        <w:trPr/>
        <w:tc>
          <w:tcPr>
            <w:tcW w:w="517"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r>
      <w:tr>
        <w:trPr/>
        <w:tc>
          <w:tcPr>
            <w:tcW w:w="1387" w:type="dxa"/>
            <w:gridSpan w:val="3"/>
            <w:tcBorders>
              <w:top w:val="single" w:sz="8" w:space="0" w:color="FFFFFF"/>
              <w:left w:val="single" w:sz="8" w:space="0" w:color="FFFFFF"/>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2180" w:type="dxa"/>
            <w:gridSpan w:val="9"/>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September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vMerge w:val="restart"/>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Increase / (Decrease)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0" w:type="dxa"/>
            <w:gridSpan w:val="9"/>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w:t>
              <w:br/>
              <w:t>September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8" w:type="dxa"/>
            <w:gridSpan w:val="3"/>
            <w:vMerge w:val="restart"/>
            <w:tcBorders>
              <w:top w:val="single" w:sz="8" w:space="0" w:color="FFFFF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Increase / (Decrease)</w:t>
            </w:r>
          </w:p>
        </w:tc>
      </w:tr>
      <w:tr>
        <w:trPr/>
        <w:tc>
          <w:tcPr>
            <w:tcW w:w="1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0" w:type="dxa"/>
            <w:gridSpan w:val="9"/>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vMerge w:val="continue"/>
            <w:tcBorders>
              <w:top w:val="single" w:sz="8" w:space="0" w:color="FFFFFF"/>
            </w:tcBorders>
            <w:tcMar>
              <w:top w:w="3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0" w:type="dxa"/>
            <w:gridSpan w:val="9"/>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8" w:type="dxa"/>
            <w:gridSpan w:val="3"/>
            <w:vMerge w:val="continue"/>
            <w:tcBorders>
              <w:top w:val="single" w:sz="8" w:space="0" w:color="FFFFFF"/>
            </w:tcBorders>
            <w:shd w:fill="FFFFFF" w:val="clear"/>
            <w:tcMar>
              <w:top w:w="30" w:type="dxa"/>
              <w:left w:w="0" w:type="dxa"/>
              <w:bottom w:w="0" w:type="dxa"/>
              <w:right w:w="0" w:type="dxa"/>
            </w:tcMar>
            <w:vAlign w:val="center"/>
          </w:tcPr>
          <w:p>
            <w:pPr>
              <w:pStyle w:val="Normal"/>
              <w:bidi w:val="0"/>
              <w:jc w:val="left"/>
              <w:rPr/>
            </w:pPr>
            <w:r>
              <w:rPr/>
            </w:r>
          </w:p>
        </w:tc>
      </w:tr>
      <w:tr>
        <w:trPr/>
        <w:tc>
          <w:tcPr>
            <w:tcW w:w="1387" w:type="dxa"/>
            <w:gridSpan w:val="3"/>
            <w:tcBorders>
              <w:left w:val="single" w:sz="8" w:space="0" w:color="FFFFFF"/>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6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vMerge w:val="continue"/>
            <w:tcBorders>
              <w:top w:val="single" w:sz="8" w:space="0" w:color="FFFFFF"/>
            </w:tcBorders>
            <w:tcMar>
              <w:top w:w="3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8" w:type="dxa"/>
            <w:gridSpan w:val="3"/>
            <w:vMerge w:val="continue"/>
            <w:tcBorders>
              <w:top w:val="single" w:sz="8" w:space="0" w:color="FFFFFF"/>
            </w:tcBorders>
            <w:shd w:fill="FFFFFF" w:val="clear"/>
            <w:tcMar>
              <w:top w:w="30" w:type="dxa"/>
              <w:left w:w="0" w:type="dxa"/>
              <w:bottom w:w="0" w:type="dxa"/>
              <w:right w:w="0" w:type="dxa"/>
            </w:tcMar>
            <w:vAlign w:val="center"/>
          </w:tcPr>
          <w:p>
            <w:pPr>
              <w:pStyle w:val="Normal"/>
              <w:bidi w:val="0"/>
              <w:jc w:val="left"/>
              <w:rPr/>
            </w:pPr>
            <w:r>
              <w:rPr/>
            </w:r>
          </w:p>
        </w:tc>
      </w:tr>
      <w:tr>
        <w:trPr/>
        <w:tc>
          <w:tcPr>
            <w:tcW w:w="13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Cost of goods sold</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34,278</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109,450</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130,542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(16)%</w:t>
            </w:r>
          </w:p>
        </w:tc>
      </w:tr>
      <w:tr>
        <w:trPr/>
        <w:tc>
          <w:tcPr>
            <w:tcW w:w="13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Gross margin</w:t>
            </w:r>
          </w:p>
        </w:tc>
        <w:tc>
          <w:tcPr>
            <w:tcW w:w="4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5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5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50"/>
        <w:jc w:val="left"/>
        <w:rPr/>
      </w:pPr>
      <w:r>
        <w:rPr>
          <w:rFonts w:ascii="Times New Roman;serif" w:hAnsi="Times New Roman;serif"/>
          <w:b w:val="false"/>
          <w:color w:val="000000"/>
          <w:sz w:val="20"/>
        </w:rPr>
        <w:t xml:space="preserve">Gross margin increased four percentage points in both the three and nine months ended September 30, 2025 versus 2024, due to lower EXPAREL inventory reserves and improved ZILRETTA product costs due to higher volumes manufactured in order to enhance the level of inventory on hand. The increase in the three months ended September 30, 2025 versus 2024 was partially offset by higher EXPAREL product cost as a result of lower production volumes. The increase in the nine months ended September 30, 2025 versus 2024 was partially offset by accelerated depreciation of fixed assets impacted by the decommissioning of our 45-liter EXPAREL batch manufacturing suite at our Science Center Campus in San Diego, California. For more information, see Note 6, </w:t>
      </w:r>
      <w:r>
        <w:rPr>
          <w:rFonts w:ascii="Times New Roman;serif" w:hAnsi="Times New Roman;serif"/>
          <w:b w:val="false"/>
          <w:i/>
          <w:color w:val="000000"/>
          <w:sz w:val="20"/>
        </w:rPr>
        <w:t>Fixed Assets</w:t>
      </w:r>
      <w:r>
        <w:rPr>
          <w:rFonts w:ascii="Times New Roman;serif" w:hAnsi="Times New Roman;serif"/>
          <w:b w:val="false"/>
          <w:color w:val="000000"/>
          <w:sz w:val="20"/>
        </w:rPr>
        <w:t>, to our condensed consolidated financial statements included herein.</w:t>
      </w:r>
    </w:p>
    <w:p>
      <w:pPr>
        <w:pStyle w:val="TextBody"/>
        <w:bidi w:val="0"/>
        <w:spacing w:lineRule="auto" w:line="288" w:before="180" w:after="283"/>
        <w:ind w:left="0" w:right="0" w:firstLine="450"/>
        <w:jc w:val="left"/>
        <w:rPr/>
      </w:pPr>
      <w:r>
        <w:rPr>
          <w:rFonts w:ascii="Times New Roman;serif" w:hAnsi="Times New Roman;serif"/>
          <w:b w:val="false"/>
          <w:color w:val="000000"/>
          <w:sz w:val="20"/>
        </w:rPr>
        <w:t xml:space="preserve">Additionally, in April 2025, the U.S. District Court, District of Nevada, concluded we were no longer obligated to pay royalties to the Research Development Foundation, or RDF, for EXPAREL manufactured under our enhanced, larger-scale manufacturing process. As a result, during the nine months ended September 30, 2025, no royalty expense was incurred on net product sales of EXPAREL. For more information, see Note 16, </w:t>
      </w:r>
      <w:r>
        <w:rPr>
          <w:rFonts w:ascii="Times New Roman;serif" w:hAnsi="Times New Roman;serif"/>
          <w:b w:val="false"/>
          <w:i/>
          <w:color w:val="000000"/>
          <w:sz w:val="20"/>
        </w:rPr>
        <w:t>Commitments and Contingencies</w:t>
      </w:r>
      <w:r>
        <w:rPr>
          <w:rFonts w:ascii="Times New Roman;serif" w:hAnsi="Times New Roman;serif"/>
          <w:b w:val="false"/>
          <w:color w:val="000000"/>
          <w:sz w:val="20"/>
        </w:rPr>
        <w:t>, to our condensed consolidated financial statements included herein.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49"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Q3 </w:t>
                            </w:r>
                            <w:r>
                              <w:rPr>
                                <w:rFonts w:ascii="Times New Roman;serif" w:hAnsi="Times New Roman;serif"/>
                                <w:b w:val="false"/>
                                <w:color w:val="000000"/>
                                <w:sz w:val="20"/>
                              </w:rPr>
                              <w:t>2025</w:t>
                            </w:r>
                            <w:r>
                              <w:rPr>
                                <w:color w:val="000000"/>
                              </w:rPr>
                              <w:t xml:space="preserve"> </w:t>
                            </w:r>
                            <w:r>
                              <w:rPr>
                                <w:rFonts w:ascii="Times New Roman;serif" w:hAnsi="Times New Roman;serif"/>
                                <w:b w:val="false"/>
                                <w:color w:val="000000"/>
                                <w:sz w:val="19"/>
                              </w:rPr>
                              <w:t>Form 10-Q | 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Q3 </w:t>
                      </w:r>
                      <w:r>
                        <w:rPr>
                          <w:rFonts w:ascii="Times New Roman;serif" w:hAnsi="Times New Roman;serif"/>
                          <w:b w:val="false"/>
                          <w:color w:val="000000"/>
                          <w:sz w:val="20"/>
                        </w:rPr>
                        <w:t>2025</w:t>
                      </w:r>
                      <w:r>
                        <w:rPr>
                          <w:color w:val="000000"/>
                        </w:rPr>
                        <w:t xml:space="preserve"> </w:t>
                      </w:r>
                      <w:r>
                        <w:rPr>
                          <w:rFonts w:ascii="Times New Roman;serif" w:hAnsi="Times New Roman;serif"/>
                          <w:b w:val="false"/>
                          <w:color w:val="000000"/>
                          <w:sz w:val="19"/>
                        </w:rPr>
                        <w:t>Form 10-Q | 46</w:t>
                      </w:r>
                    </w:p>
                  </w:txbxContent>
                </v:textbox>
                <w10:wrap type="none"/>
              </v:rect>
            </w:pict>
          </mc:Fallback>
        </mc:AlternateContent>
      </w:r>
    </w:p>
    <w:p>
      <w:pPr>
        <w:pStyle w:val="TextBody"/>
        <w:bidi w:val="0"/>
        <w:spacing w:lineRule="auto" w:line="288" w:before="0" w:after="0"/>
        <w:jc w:val="left"/>
        <w:rPr/>
      </w:pPr>
      <w:hyperlink w:anchor="i004be9cfd92c48c78448e0b03d16957e_7">
        <w:r>
          <w:rPr>
            <w:rStyle w:val="InternetLink"/>
            <w:rFonts w:ascii="Times New Roman;serif" w:hAnsi="Times New Roman;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Research and Development Expenses</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Research and development, or R&amp;D, expenses primarily consist of costs related to clinical trials and related outside services, product development and other R&amp;D costs, including trials that we are conducting to generate new data for EXPAREL, ZILRETTA and iovera°, clinical trials for PCRX-201 and stock-based compensation expense. Clinical and preclinical development expenses include costs for clinical personnel, clinical trials performed by third-parties, toxicology studies, materials and supplies, database management and other third-party fees. Product development and manufacturing capacity expansion expenses include development costs for our products, which include personnel, research equipment, materials and contractor costs for process development and product candidates, development costs related to significant scale-ups of our manufacturing capacity and facility costs for our research space. Regulatory and other expenses include regulatory activities related to unapproved products and indications, medical information and scientific communication expenses, expenses related to our IGOR registry study and related personnel. Stock-based compensation expense relates to the costs of stock option grants, awards of restricted stock units, or RSUs, and our employee stock purchase plan, or ESPP. Additionally, as part of the GQ Bio Acquisition, expenses related to a key employee holdback are also included in R&amp;D.</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a breakout of our R&amp;D expenses during the periods indicated, including percent changes (dollar amounts in thousands):</w:t>
      </w:r>
    </w:p>
    <w:tbl>
      <w:tblPr>
        <w:tblW w:w="10205" w:type="dxa"/>
        <w:jc w:val="left"/>
        <w:tblInd w:w="0" w:type="dxa"/>
        <w:tblLayout w:type="fixed"/>
        <w:tblCellMar>
          <w:top w:w="28" w:type="dxa"/>
          <w:left w:w="28" w:type="dxa"/>
          <w:bottom w:w="28" w:type="dxa"/>
          <w:right w:w="28" w:type="dxa"/>
        </w:tblCellMar>
      </w:tblPr>
      <w:tblGrid>
        <w:gridCol w:w="813"/>
        <w:gridCol w:w="674"/>
        <w:gridCol w:w="677"/>
        <w:gridCol w:w="225"/>
        <w:gridCol w:w="193"/>
        <w:gridCol w:w="483"/>
        <w:gridCol w:w="116"/>
        <w:gridCol w:w="116"/>
        <w:gridCol w:w="116"/>
        <w:gridCol w:w="225"/>
        <w:gridCol w:w="192"/>
        <w:gridCol w:w="484"/>
        <w:gridCol w:w="109"/>
        <w:gridCol w:w="109"/>
        <w:gridCol w:w="109"/>
        <w:gridCol w:w="454"/>
        <w:gridCol w:w="454"/>
        <w:gridCol w:w="455"/>
        <w:gridCol w:w="109"/>
        <w:gridCol w:w="109"/>
        <w:gridCol w:w="109"/>
        <w:gridCol w:w="219"/>
        <w:gridCol w:w="193"/>
        <w:gridCol w:w="483"/>
        <w:gridCol w:w="113"/>
        <w:gridCol w:w="113"/>
        <w:gridCol w:w="113"/>
        <w:gridCol w:w="219"/>
        <w:gridCol w:w="193"/>
        <w:gridCol w:w="483"/>
        <w:gridCol w:w="109"/>
        <w:gridCol w:w="109"/>
        <w:gridCol w:w="109"/>
        <w:gridCol w:w="412"/>
        <w:gridCol w:w="412"/>
        <w:gridCol w:w="594"/>
      </w:tblGrid>
      <w:tr>
        <w:trPr/>
        <w:tc>
          <w:tcPr>
            <w:tcW w:w="813"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r>
      <w:tr>
        <w:trPr/>
        <w:tc>
          <w:tcPr>
            <w:tcW w:w="2164" w:type="dxa"/>
            <w:gridSpan w:val="3"/>
            <w:tcBorders>
              <w:top w:val="single" w:sz="8" w:space="0" w:color="FFFFFF"/>
              <w:left w:val="single" w:sz="8" w:space="0" w:color="FFFFFF"/>
            </w:tcBorders>
            <w:tcMar>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9"/>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vMerge w:val="restart"/>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Increase / (Decrease)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9"/>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vMerge w:val="restart"/>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Increase / (Decrease)</w:t>
            </w:r>
          </w:p>
        </w:tc>
      </w:tr>
      <w:tr>
        <w:trPr/>
        <w:tc>
          <w:tcPr>
            <w:tcW w:w="2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9"/>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vMerge w:val="continue"/>
            <w:tcBorders>
              <w:top w:val="single" w:sz="8" w:space="0" w:color="FFFFFF"/>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9"/>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vMerge w:val="continue"/>
            <w:tcBorders>
              <w:top w:val="single" w:sz="8" w:space="0" w:color="FFFFFF"/>
            </w:tcBorders>
            <w:tcMar>
              <w:top w:w="30" w:type="dxa"/>
              <w:left w:w="0" w:type="dxa"/>
              <w:bottom w:w="0" w:type="dxa"/>
              <w:right w:w="0" w:type="dxa"/>
            </w:tcMar>
            <w:vAlign w:val="center"/>
          </w:tcPr>
          <w:p>
            <w:pPr>
              <w:pStyle w:val="Normal"/>
              <w:bidi w:val="0"/>
              <w:jc w:val="left"/>
              <w:rPr/>
            </w:pPr>
            <w:r>
              <w:rPr/>
            </w:r>
          </w:p>
        </w:tc>
      </w:tr>
      <w:tr>
        <w:trPr/>
        <w:tc>
          <w:tcPr>
            <w:tcW w:w="2164" w:type="dxa"/>
            <w:gridSpan w:val="3"/>
            <w:tcBorders>
              <w:left w:val="single" w:sz="8" w:space="0" w:color="FFFFFF"/>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vMerge w:val="continue"/>
            <w:tcBorders>
              <w:top w:val="single" w:sz="8" w:space="0" w:color="FFFFFF"/>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vMerge w:val="continue"/>
            <w:tcBorders>
              <w:top w:val="single" w:sz="8" w:space="0" w:color="FFFFFF"/>
            </w:tcBorders>
            <w:tcMar>
              <w:top w:w="30" w:type="dxa"/>
              <w:left w:w="0" w:type="dxa"/>
              <w:bottom w:w="0" w:type="dxa"/>
              <w:right w:w="0" w:type="dxa"/>
            </w:tcMar>
            <w:vAlign w:val="center"/>
          </w:tcPr>
          <w:p>
            <w:pPr>
              <w:pStyle w:val="Normal"/>
              <w:bidi w:val="0"/>
              <w:jc w:val="left"/>
              <w:rPr/>
            </w:pPr>
            <w:r>
              <w:rPr/>
            </w:r>
          </w:p>
        </w:tc>
      </w:tr>
      <w:tr>
        <w:trPr/>
        <w:tc>
          <w:tcPr>
            <w:tcW w:w="2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Clinical and preclinical development</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12,721</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39,447</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74%</w:t>
            </w:r>
          </w:p>
        </w:tc>
      </w:tr>
      <w:tr>
        <w:trPr/>
        <w:tc>
          <w:tcPr>
            <w:tcW w:w="2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development</w:t>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6,854</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22,853</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w:t>
            </w:r>
          </w:p>
        </w:tc>
      </w:tr>
      <w:tr>
        <w:trPr/>
        <w:tc>
          <w:tcPr>
            <w:tcW w:w="2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Regulatory and other</w:t>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2,914</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7,976</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w:t>
            </w:r>
          </w:p>
        </w:tc>
      </w:tr>
      <w:tr>
        <w:trPr/>
        <w:tc>
          <w:tcPr>
            <w:tcW w:w="2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Key employee holdback</w:t>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1,151</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2,609</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2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2,326</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6,974</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26%</w:t>
            </w:r>
          </w:p>
        </w:tc>
      </w:tr>
      <w:tr>
        <w:trPr/>
        <w:tc>
          <w:tcPr>
            <w:tcW w:w="2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research and development expense</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25,966</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79,859</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38%</w:t>
            </w:r>
          </w:p>
        </w:tc>
      </w:tr>
      <w:tr>
        <w:trPr/>
        <w:tc>
          <w:tcPr>
            <w:tcW w:w="2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 of total revenues</w:t>
            </w:r>
          </w:p>
        </w:tc>
        <w:tc>
          <w:tcPr>
            <w:tcW w:w="418"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48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48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48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48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Total R&amp;D expense increased 36% and 38% in the three and nine months ended September 30, 2025 versus 2024, respectively.</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Clinical and preclinical development expense increased 55% and 74% in the three and nine months ended September 30, 2025 versus 2024, respectively, due to ongoing site start-up expenses and enrollment in the PCRX-201 Phase 2 ASCEND trial for knee OA and an iovera° spasticity trial, as well as additional personnel to support clinical initiatives. For the three months ended September 30, 2025 versus 2024, these increases were partially offset by an enrollment pause in a ZILRETTA shoulder trial pending Institutional Review Board (IRB) approval of a protocol amendment, as well as an enrollment pause between cohort 1 and cohort 2 in an EXPAREL pediatric trial. For the nine months ended September 30, 2025 versus 2024, increases include site start-up of and ongoing enrollment in the ZILRETTA shoulder trial, partially offset by the winding down of a PCRX-201 Phase 1 trial for knee OA.</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Product development expense decreased 5% in the three months ended September 30, 2025 versus 2024 attributable to ZILRETTA development costs that were incurred in the prior year to develop a manufacturing fill line that was placed into service in 2025. Product development expense increased 4% in the nine months ended September 30, 2025 versus 2024, attributable to investing in our HCAd platform, primarily for the PCRX-201 program. These increases were partially offset by the completion of pre-commercial scale-up activities of our enhanced, larger-scale EXPAREL manufacturing capacity at our Science Center Campus in San Diego, California. This manufacturing suite was approved by the FDA in February 2024 and placed into service in July 2024.</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Regulatory and other expense increased 57% and 7% in the three and nine months ended September 30, 2025 versus 2024, respectively, due to a realignment of medical communication activities, as well as additional subjects enrolled in the IGOR registry study.</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three and nine months ended September 30, 2025, we accrued $1.2 million and $2.6 million, respectively, related to a key employee holdback. As part of the GQ Bio Acquisition, $7.8 million related to two employees’ payments will be recognized over three years pursuant to a key employee holdback agreement in increments of 50%, 30% and 20% at each year’s respective anniversary.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50"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Q3 </w:t>
                            </w:r>
                            <w:r>
                              <w:rPr>
                                <w:rFonts w:ascii="Times New Roman;serif" w:hAnsi="Times New Roman;serif"/>
                                <w:b w:val="false"/>
                                <w:color w:val="000000"/>
                                <w:sz w:val="20"/>
                              </w:rPr>
                              <w:t>2025</w:t>
                            </w:r>
                            <w:r>
                              <w:rPr>
                                <w:color w:val="000000"/>
                              </w:rPr>
                              <w:t xml:space="preserve"> </w:t>
                            </w:r>
                            <w:r>
                              <w:rPr>
                                <w:rFonts w:ascii="Times New Roman;serif" w:hAnsi="Times New Roman;serif"/>
                                <w:b w:val="false"/>
                                <w:color w:val="000000"/>
                                <w:sz w:val="19"/>
                              </w:rPr>
                              <w:t>Form 10-Q | 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Q3 </w:t>
                      </w:r>
                      <w:r>
                        <w:rPr>
                          <w:rFonts w:ascii="Times New Roman;serif" w:hAnsi="Times New Roman;serif"/>
                          <w:b w:val="false"/>
                          <w:color w:val="000000"/>
                          <w:sz w:val="20"/>
                        </w:rPr>
                        <w:t>2025</w:t>
                      </w:r>
                      <w:r>
                        <w:rPr>
                          <w:color w:val="000000"/>
                        </w:rPr>
                        <w:t xml:space="preserve"> </w:t>
                      </w:r>
                      <w:r>
                        <w:rPr>
                          <w:rFonts w:ascii="Times New Roman;serif" w:hAnsi="Times New Roman;serif"/>
                          <w:b w:val="false"/>
                          <w:color w:val="000000"/>
                          <w:sz w:val="19"/>
                        </w:rPr>
                        <w:t>Form 10-Q | 47</w:t>
                      </w:r>
                    </w:p>
                  </w:txbxContent>
                </v:textbox>
                <w10:wrap type="none"/>
              </v:rect>
            </w:pict>
          </mc:Fallback>
        </mc:AlternateContent>
      </w:r>
    </w:p>
    <w:p>
      <w:pPr>
        <w:pStyle w:val="TextBody"/>
        <w:bidi w:val="0"/>
        <w:spacing w:lineRule="auto" w:line="288" w:before="0" w:after="0"/>
        <w:jc w:val="left"/>
        <w:rPr/>
      </w:pPr>
      <w:hyperlink w:anchor="i004be9cfd92c48c78448e0b03d16957e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 increased 30% and 26% in the three and nine months ended September 30, 2025 versus 2024, respectively, primarily due to increased R&amp;D personnel as well as the shifting of our annual equity grant to the first quarter in 2025.</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Selling, General and Administrative Expenses</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Sales and marketing expenses primarily consist of compensation and benefits for our sales force and personnel that support our sales, marketing, medical and scientific affairs operations, expenses related to health outcome communications, provider-level market access, patient reimbursement support and customer educational programs. General and administrative expenses consist of compensation and benefits for legal, finance, regulatory activities related to approved products and indications, compliance, information technology, human resources, business development, executive management and other supporting personnel. It also includes professional fees for legal, audit, tax and consulting services. Stock-based compensation expense relates to the costs of stock option grants, RSU awards and our ESPP.</w:t>
      </w:r>
    </w:p>
    <w:p>
      <w:pPr>
        <w:pStyle w:val="TextBody"/>
        <w:bidi w:val="0"/>
        <w:spacing w:lineRule="auto" w:line="288" w:before="180" w:after="20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information regarding our selling, general and administrative expenses during the periods indicated, including percent changes (dollar amounts in thousands):</w:t>
      </w:r>
    </w:p>
    <w:tbl>
      <w:tblPr>
        <w:tblW w:w="10205" w:type="dxa"/>
        <w:jc w:val="left"/>
        <w:tblInd w:w="0" w:type="dxa"/>
        <w:tblLayout w:type="fixed"/>
        <w:tblCellMar>
          <w:top w:w="28" w:type="dxa"/>
          <w:left w:w="28" w:type="dxa"/>
          <w:bottom w:w="28" w:type="dxa"/>
          <w:right w:w="28" w:type="dxa"/>
        </w:tblCellMar>
      </w:tblPr>
      <w:tblGrid>
        <w:gridCol w:w="900"/>
        <w:gridCol w:w="652"/>
        <w:gridCol w:w="620"/>
        <w:gridCol w:w="221"/>
        <w:gridCol w:w="193"/>
        <w:gridCol w:w="483"/>
        <w:gridCol w:w="114"/>
        <w:gridCol w:w="114"/>
        <w:gridCol w:w="114"/>
        <w:gridCol w:w="221"/>
        <w:gridCol w:w="193"/>
        <w:gridCol w:w="483"/>
        <w:gridCol w:w="109"/>
        <w:gridCol w:w="109"/>
        <w:gridCol w:w="109"/>
        <w:gridCol w:w="421"/>
        <w:gridCol w:w="421"/>
        <w:gridCol w:w="423"/>
        <w:gridCol w:w="109"/>
        <w:gridCol w:w="109"/>
        <w:gridCol w:w="109"/>
        <w:gridCol w:w="217"/>
        <w:gridCol w:w="224"/>
        <w:gridCol w:w="557"/>
        <w:gridCol w:w="112"/>
        <w:gridCol w:w="112"/>
        <w:gridCol w:w="112"/>
        <w:gridCol w:w="217"/>
        <w:gridCol w:w="224"/>
        <w:gridCol w:w="557"/>
        <w:gridCol w:w="109"/>
        <w:gridCol w:w="109"/>
        <w:gridCol w:w="109"/>
        <w:gridCol w:w="384"/>
        <w:gridCol w:w="384"/>
        <w:gridCol w:w="551"/>
      </w:tblGrid>
      <w:tr>
        <w:trPr/>
        <w:tc>
          <w:tcPr>
            <w:tcW w:w="900"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r>
      <w:tr>
        <w:trPr/>
        <w:tc>
          <w:tcPr>
            <w:tcW w:w="2172" w:type="dxa"/>
            <w:gridSpan w:val="3"/>
            <w:tcBorders>
              <w:top w:val="single" w:sz="8" w:space="0" w:color="FFFFFF"/>
              <w:left w:val="single" w:sz="8" w:space="0" w:color="FFFFFF"/>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2136" w:type="dxa"/>
            <w:gridSpan w:val="9"/>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September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vMerge w:val="restart"/>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Increase / (Decrease)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2" w:type="dxa"/>
            <w:gridSpan w:val="9"/>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w:t>
              <w:br/>
              <w:t>September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vMerge w:val="restart"/>
            <w:tcBorders>
              <w:top w:val="single" w:sz="8" w:space="0" w:color="FFFFF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Increase / (Decrease)</w:t>
            </w:r>
          </w:p>
        </w:tc>
      </w:tr>
      <w:tr>
        <w:trPr/>
        <w:tc>
          <w:tcPr>
            <w:tcW w:w="21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6" w:type="dxa"/>
            <w:gridSpan w:val="9"/>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vMerge w:val="continue"/>
            <w:tcBorders>
              <w:top w:val="single" w:sz="8" w:space="0" w:color="FFFFFF"/>
            </w:tcBorders>
            <w:tcMar>
              <w:top w:w="3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2" w:type="dxa"/>
            <w:gridSpan w:val="9"/>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vMerge w:val="continue"/>
            <w:tcBorders>
              <w:top w:val="single" w:sz="8" w:space="0" w:color="FFFFFF"/>
            </w:tcBorders>
            <w:shd w:fill="FFFFFF" w:val="clear"/>
            <w:tcMar>
              <w:top w:w="30" w:type="dxa"/>
              <w:left w:w="0" w:type="dxa"/>
              <w:bottom w:w="0" w:type="dxa"/>
              <w:right w:w="0" w:type="dxa"/>
            </w:tcMar>
            <w:vAlign w:val="center"/>
          </w:tcPr>
          <w:p>
            <w:pPr>
              <w:pStyle w:val="Normal"/>
              <w:bidi w:val="0"/>
              <w:jc w:val="left"/>
              <w:rPr/>
            </w:pPr>
            <w:r>
              <w:rPr/>
            </w:r>
          </w:p>
        </w:tc>
      </w:tr>
      <w:tr>
        <w:trPr/>
        <w:tc>
          <w:tcPr>
            <w:tcW w:w="2172" w:type="dxa"/>
            <w:gridSpan w:val="3"/>
            <w:tcBorders>
              <w:left w:val="single" w:sz="8" w:space="0" w:color="FFFFFF"/>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vMerge w:val="continue"/>
            <w:tcBorders>
              <w:top w:val="single" w:sz="8" w:space="0" w:color="FFFFFF"/>
            </w:tcBorders>
            <w:tcMar>
              <w:top w:w="3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vMerge w:val="continue"/>
            <w:tcBorders>
              <w:top w:val="single" w:sz="8" w:space="0" w:color="FFFFFF"/>
            </w:tcBorders>
            <w:shd w:fill="FFFFFF" w:val="clear"/>
            <w:tcMar>
              <w:top w:w="30" w:type="dxa"/>
              <w:left w:w="0" w:type="dxa"/>
              <w:bottom w:w="0" w:type="dxa"/>
              <w:right w:w="0" w:type="dxa"/>
            </w:tcMar>
            <w:vAlign w:val="center"/>
          </w:tcPr>
          <w:p>
            <w:pPr>
              <w:pStyle w:val="Normal"/>
              <w:bidi w:val="0"/>
              <w:jc w:val="left"/>
              <w:rPr/>
            </w:pPr>
            <w:r>
              <w:rPr/>
            </w:r>
          </w:p>
        </w:tc>
      </w:tr>
      <w:tr>
        <w:trPr/>
        <w:tc>
          <w:tcPr>
            <w:tcW w:w="2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58,471</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165,006</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121,673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36%</w:t>
            </w:r>
          </w:p>
        </w:tc>
      </w:tr>
      <w:tr>
        <w:trPr/>
        <w:tc>
          <w:tcPr>
            <w:tcW w:w="2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8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23,180</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70,020</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66,842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w:t>
            </w:r>
          </w:p>
        </w:tc>
      </w:tr>
      <w:tr>
        <w:trPr/>
        <w:tc>
          <w:tcPr>
            <w:tcW w:w="2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8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10,146</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32,125</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24%</w:t>
            </w:r>
          </w:p>
        </w:tc>
      </w:tr>
      <w:tr>
        <w:trPr/>
        <w:tc>
          <w:tcPr>
            <w:tcW w:w="2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selling, general and administrative expense</w:t>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91,797</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267,151</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214,485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25%</w:t>
            </w:r>
          </w:p>
        </w:tc>
      </w:tr>
      <w:tr>
        <w:trPr/>
        <w:tc>
          <w:tcPr>
            <w:tcW w:w="2172" w:type="dxa"/>
            <w:gridSpan w:val="3"/>
            <w:tcBorders>
              <w:left w:val="single" w:sz="8" w:space="0" w:color="FFFFFF"/>
              <w:bottom w:val="single" w:sz="8" w:space="0" w:color="FFFFFF"/>
            </w:tcBorders>
            <w:shd w:fill="CCEEFF" w:val="clear"/>
            <w:tcMar>
              <w:top w:w="0" w:type="dxa"/>
              <w:bottom w:w="3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 of total revenues</w:t>
            </w:r>
          </w:p>
        </w:tc>
        <w:tc>
          <w:tcPr>
            <w:tcW w:w="414"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48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48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55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55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Total selling, general and administrative expense increased 23% and 25% in the three and nine months ended September 30, 2025 versus 2024, respectively.</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Sales and marketing expense increased 35% and 36% in the three and nine months ended September 30, 2025 versus 2024, respectively, driven by investing in programs to drive awareness and education for our customers and enhance our marketing, market access and reimbursement teams and value creation to enhance key commercial capabilities and expand EXPAREL utilization. We also expanded the size of our sales force in the second half of 2024 in order to better extend our reach on each of our commercial products.</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 increased 5% in both the three and nine months ended September 30, 2025 versus 2024 primarily driven by increased headcount in the business development and other administrative departments. In addition, the increase in the nine months ended September 30, 2025 versus 2024 was partially offset by a recovery of legal expenses in the first quarter of 2025.</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 increased 11% and 24% for the three and nine months ended September 30, 2025 versus 2024, respectively, primarily due to equity grants provided to new executive officers as well as the shifting of our annual equity grant to the first quarter starting in 2025.</w:t>
      </w:r>
    </w:p>
    <w:p>
      <w:pPr>
        <w:pStyle w:val="TextBody"/>
        <w:bidi w:val="0"/>
        <w:spacing w:lineRule="auto" w:line="288" w:before="180" w:after="283"/>
        <w:ind w:left="0" w:right="0" w:firstLine="450"/>
        <w:jc w:val="left"/>
        <w:rPr/>
      </w:pPr>
      <w:r>
        <w:rPr>
          <w:rFonts w:ascii="Times New Roman;serif" w:hAnsi="Times New Roman;serif"/>
          <w:b w:val="false"/>
          <w:color w:val="000000"/>
          <w:sz w:val="20"/>
        </w:rPr>
        <w:t xml:space="preserve">In October 2025, we received two separate Paragraph IV Certifications from two Chinese generic drug manufacturers each advising that they had submitted an Abbreviated New Drug Application to the FDA seeking authorization from the FDA to manufacture, use or sell a generic version of EXPAREL in the U.S. We expect to incur additional legal costs to defend our intellectual property, although we cannot predict the extent of costs or the outcome of these matters at this time. For more information, see Note 16, </w:t>
      </w:r>
      <w:r>
        <w:rPr>
          <w:rFonts w:ascii="Times New Roman;serif" w:hAnsi="Times New Roman;serif"/>
          <w:b w:val="false"/>
          <w:i/>
          <w:color w:val="000000"/>
          <w:sz w:val="20"/>
        </w:rPr>
        <w:t>Commitments and Contingencies</w:t>
      </w:r>
      <w:r>
        <w:rPr>
          <w:rFonts w:ascii="Times New Roman;serif" w:hAnsi="Times New Roman;serif"/>
          <w:b w:val="false"/>
          <w:color w:val="000000"/>
          <w:sz w:val="20"/>
        </w:rPr>
        <w:t>, to our condensed consolidated financial statements included herein.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51"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Q3 </w:t>
                            </w:r>
                            <w:r>
                              <w:rPr>
                                <w:rFonts w:ascii="Times New Roman;serif" w:hAnsi="Times New Roman;serif"/>
                                <w:b w:val="false"/>
                                <w:color w:val="000000"/>
                                <w:sz w:val="20"/>
                              </w:rPr>
                              <w:t>2025</w:t>
                            </w:r>
                            <w:r>
                              <w:rPr>
                                <w:color w:val="000000"/>
                              </w:rPr>
                              <w:t xml:space="preserve"> </w:t>
                            </w:r>
                            <w:r>
                              <w:rPr>
                                <w:rFonts w:ascii="Times New Roman;serif" w:hAnsi="Times New Roman;serif"/>
                                <w:b w:val="false"/>
                                <w:color w:val="000000"/>
                                <w:sz w:val="19"/>
                              </w:rPr>
                              <w:t>Form 10-Q | 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Q3 </w:t>
                      </w:r>
                      <w:r>
                        <w:rPr>
                          <w:rFonts w:ascii="Times New Roman;serif" w:hAnsi="Times New Roman;serif"/>
                          <w:b w:val="false"/>
                          <w:color w:val="000000"/>
                          <w:sz w:val="20"/>
                        </w:rPr>
                        <w:t>2025</w:t>
                      </w:r>
                      <w:r>
                        <w:rPr>
                          <w:color w:val="000000"/>
                        </w:rPr>
                        <w:t xml:space="preserve"> </w:t>
                      </w:r>
                      <w:r>
                        <w:rPr>
                          <w:rFonts w:ascii="Times New Roman;serif" w:hAnsi="Times New Roman;serif"/>
                          <w:b w:val="false"/>
                          <w:color w:val="000000"/>
                          <w:sz w:val="19"/>
                        </w:rPr>
                        <w:t>Form 10-Q | 48</w:t>
                      </w:r>
                    </w:p>
                  </w:txbxContent>
                </v:textbox>
                <w10:wrap type="none"/>
              </v:rect>
            </w:pict>
          </mc:Fallback>
        </mc:AlternateContent>
      </w:r>
    </w:p>
    <w:p>
      <w:pPr>
        <w:pStyle w:val="TextBody"/>
        <w:bidi w:val="0"/>
        <w:spacing w:lineRule="auto" w:line="288" w:before="0" w:after="0"/>
        <w:jc w:val="left"/>
        <w:rPr/>
      </w:pPr>
      <w:hyperlink w:anchor="i004be9cfd92c48c78448e0b03d16957e_7">
        <w:r>
          <w:rPr>
            <w:rStyle w:val="InternetLink"/>
            <w:rFonts w:ascii="Times New Roman;serif" w:hAnsi="Times New Roman;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00"/>
        <w:jc w:val="left"/>
        <w:rPr>
          <w:rFonts w:ascii="Times New Roman;serif" w:hAnsi="Times New Roman;serif"/>
          <w:b w:val="false"/>
          <w:i/>
          <w:color w:val="000000"/>
          <w:sz w:val="20"/>
        </w:rPr>
      </w:pPr>
      <w:r>
        <w:rPr>
          <w:rFonts w:ascii="Times New Roman;serif" w:hAnsi="Times New Roman;serif"/>
          <w:b w:val="false"/>
          <w:i/>
          <w:color w:val="000000"/>
          <w:sz w:val="20"/>
        </w:rPr>
        <w:t>Amortization of Acquired Intangible Assets</w:t>
      </w:r>
    </w:p>
    <w:p>
      <w:pPr>
        <w:pStyle w:val="TextBody"/>
        <w:bidi w:val="0"/>
        <w:spacing w:lineRule="auto" w:line="288" w:before="180" w:after="20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a summary of the amortization of acquired intangible assets during the periods indicated, including percent changes (dollar amounts in thousands):</w:t>
      </w:r>
    </w:p>
    <w:tbl>
      <w:tblPr>
        <w:tblW w:w="10205" w:type="dxa"/>
        <w:jc w:val="left"/>
        <w:tblInd w:w="0" w:type="dxa"/>
        <w:tblLayout w:type="fixed"/>
        <w:tblCellMar>
          <w:top w:w="28" w:type="dxa"/>
          <w:left w:w="28" w:type="dxa"/>
          <w:bottom w:w="28" w:type="dxa"/>
          <w:right w:w="28" w:type="dxa"/>
        </w:tblCellMar>
      </w:tblPr>
      <w:tblGrid>
        <w:gridCol w:w="679"/>
        <w:gridCol w:w="596"/>
        <w:gridCol w:w="599"/>
        <w:gridCol w:w="211"/>
        <w:gridCol w:w="721"/>
        <w:gridCol w:w="109"/>
        <w:gridCol w:w="109"/>
        <w:gridCol w:w="109"/>
        <w:gridCol w:w="109"/>
        <w:gridCol w:w="211"/>
        <w:gridCol w:w="721"/>
        <w:gridCol w:w="109"/>
        <w:gridCol w:w="109"/>
        <w:gridCol w:w="109"/>
        <w:gridCol w:w="109"/>
        <w:gridCol w:w="413"/>
        <w:gridCol w:w="413"/>
        <w:gridCol w:w="414"/>
        <w:gridCol w:w="109"/>
        <w:gridCol w:w="109"/>
        <w:gridCol w:w="109"/>
        <w:gridCol w:w="211"/>
        <w:gridCol w:w="721"/>
        <w:gridCol w:w="109"/>
        <w:gridCol w:w="109"/>
        <w:gridCol w:w="109"/>
        <w:gridCol w:w="109"/>
        <w:gridCol w:w="211"/>
        <w:gridCol w:w="721"/>
        <w:gridCol w:w="109"/>
        <w:gridCol w:w="109"/>
        <w:gridCol w:w="109"/>
        <w:gridCol w:w="109"/>
        <w:gridCol w:w="377"/>
        <w:gridCol w:w="377"/>
        <w:gridCol w:w="538"/>
      </w:tblGrid>
      <w:tr>
        <w:trPr/>
        <w:tc>
          <w:tcPr>
            <w:tcW w:w="679"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r>
      <w:tr>
        <w:trPr/>
        <w:tc>
          <w:tcPr>
            <w:tcW w:w="1874" w:type="dxa"/>
            <w:gridSpan w:val="3"/>
            <w:tcBorders>
              <w:top w:val="single" w:sz="8" w:space="0" w:color="FFFFFF"/>
              <w:left w:val="single" w:sz="8" w:space="0" w:color="FFFFFF"/>
            </w:tcBorders>
            <w:tcMar>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vMerge w:val="restart"/>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Increase / (Decrease)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vMerge w:val="restart"/>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Increase / (Decrease)</w:t>
            </w:r>
          </w:p>
        </w:tc>
      </w:tr>
      <w:tr>
        <w:trPr/>
        <w:tc>
          <w:tcPr>
            <w:tcW w:w="1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vMerge w:val="continue"/>
            <w:tcBorders>
              <w:top w:val="single" w:sz="8" w:space="0" w:color="FFFFFF"/>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vMerge w:val="continue"/>
            <w:tcBorders>
              <w:top w:val="single" w:sz="8" w:space="0" w:color="FFFFFF"/>
            </w:tcBorders>
            <w:tcMar>
              <w:top w:w="30" w:type="dxa"/>
              <w:left w:w="0" w:type="dxa"/>
              <w:bottom w:w="0" w:type="dxa"/>
              <w:right w:w="0" w:type="dxa"/>
            </w:tcMar>
            <w:vAlign w:val="center"/>
          </w:tcPr>
          <w:p>
            <w:pPr>
              <w:pStyle w:val="Normal"/>
              <w:bidi w:val="0"/>
              <w:jc w:val="left"/>
              <w:rPr/>
            </w:pPr>
            <w:r>
              <w:rPr/>
            </w:r>
          </w:p>
        </w:tc>
      </w:tr>
      <w:tr>
        <w:trPr/>
        <w:tc>
          <w:tcPr>
            <w:tcW w:w="1874" w:type="dxa"/>
            <w:gridSpan w:val="3"/>
            <w:tcBorders>
              <w:left w:val="single" w:sz="8" w:space="0" w:color="FFFFFF"/>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vMerge w:val="continue"/>
            <w:tcBorders>
              <w:top w:val="single" w:sz="8" w:space="0" w:color="FFFFFF"/>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vMerge w:val="continue"/>
            <w:tcBorders>
              <w:top w:val="single" w:sz="8" w:space="0" w:color="FFFFFF"/>
            </w:tcBorders>
            <w:tcMar>
              <w:top w:w="30" w:type="dxa"/>
              <w:left w:w="0" w:type="dxa"/>
              <w:bottom w:w="0" w:type="dxa"/>
              <w:right w:w="0" w:type="dxa"/>
            </w:tcMar>
            <w:vAlign w:val="center"/>
          </w:tcPr>
          <w:p>
            <w:pPr>
              <w:pStyle w:val="Normal"/>
              <w:bidi w:val="0"/>
              <w:jc w:val="left"/>
              <w:rPr/>
            </w:pPr>
            <w:r>
              <w:rPr/>
            </w:r>
          </w:p>
        </w:tc>
      </w:tr>
      <w:tr>
        <w:trPr/>
        <w:tc>
          <w:tcPr>
            <w:tcW w:w="1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acquired intangible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20"/>
              </w:rPr>
              <w:t>%</w:t>
            </w:r>
          </w:p>
        </w:tc>
      </w:tr>
    </w:tbl>
    <w:p>
      <w:pPr>
        <w:pStyle w:val="TextBody"/>
        <w:bidi w:val="0"/>
        <w:spacing w:lineRule="auto" w:line="288" w:before="180" w:after="160"/>
        <w:ind w:left="0" w:right="0" w:firstLine="450"/>
        <w:jc w:val="left"/>
        <w:rPr/>
      </w:pPr>
      <w:r>
        <w:rPr>
          <w:rFonts w:ascii="Times New Roman;serif" w:hAnsi="Times New Roman;serif"/>
          <w:b w:val="false"/>
          <w:color w:val="000000"/>
          <w:sz w:val="20"/>
        </w:rPr>
        <w:t xml:space="preserve">As part of the Flexion Acquisition and the MyoScience Acquisition, we acquired intangible assets consisting of developed technology intangible assets and customer relationships, with estimated useful lives between 9 and 14 years. For more information, see Note 8, </w:t>
      </w:r>
      <w:r>
        <w:rPr>
          <w:rFonts w:ascii="Times New Roman;serif" w:hAnsi="Times New Roman;serif"/>
          <w:b w:val="false"/>
          <w:i/>
          <w:color w:val="000000"/>
          <w:sz w:val="20"/>
        </w:rPr>
        <w:t>Goodwill and Intangible Assets</w:t>
      </w:r>
      <w:r>
        <w:rPr>
          <w:rFonts w:ascii="Times New Roman;serif" w:hAnsi="Times New Roman;serif"/>
          <w:b w:val="false"/>
          <w:color w:val="000000"/>
          <w:sz w:val="20"/>
        </w:rPr>
        <w:t>, to our condensed consolidated financial statements included herein.</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00"/>
        <w:jc w:val="left"/>
        <w:rPr>
          <w:rFonts w:ascii="Times New Roman;serif" w:hAnsi="Times New Roman;serif"/>
          <w:b w:val="false"/>
          <w:i/>
          <w:color w:val="000000"/>
          <w:sz w:val="20"/>
        </w:rPr>
      </w:pPr>
      <w:r>
        <w:rPr>
          <w:rFonts w:ascii="Times New Roman;serif" w:hAnsi="Times New Roman;serif"/>
          <w:b w:val="false"/>
          <w:i/>
          <w:color w:val="000000"/>
          <w:sz w:val="20"/>
        </w:rPr>
        <w:t>Goodwill Impairment</w:t>
      </w:r>
    </w:p>
    <w:p>
      <w:pPr>
        <w:pStyle w:val="TextBody"/>
        <w:bidi w:val="0"/>
        <w:spacing w:lineRule="auto" w:line="288" w:before="180" w:after="20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a summary of a goodwill impairment during the periods indicated, including percent changes (dollar amounts in thousands):</w:t>
      </w:r>
    </w:p>
    <w:tbl>
      <w:tblPr>
        <w:tblW w:w="10205" w:type="dxa"/>
        <w:jc w:val="left"/>
        <w:tblInd w:w="0" w:type="dxa"/>
        <w:tblLayout w:type="fixed"/>
        <w:tblCellMar>
          <w:top w:w="28" w:type="dxa"/>
          <w:left w:w="28" w:type="dxa"/>
          <w:bottom w:w="28" w:type="dxa"/>
          <w:right w:w="28" w:type="dxa"/>
        </w:tblCellMar>
      </w:tblPr>
      <w:tblGrid>
        <w:gridCol w:w="576"/>
        <w:gridCol w:w="505"/>
        <w:gridCol w:w="508"/>
        <w:gridCol w:w="211"/>
        <w:gridCol w:w="406"/>
        <w:gridCol w:w="109"/>
        <w:gridCol w:w="109"/>
        <w:gridCol w:w="109"/>
        <w:gridCol w:w="109"/>
        <w:gridCol w:w="211"/>
        <w:gridCol w:w="826"/>
        <w:gridCol w:w="109"/>
        <w:gridCol w:w="109"/>
        <w:gridCol w:w="109"/>
        <w:gridCol w:w="109"/>
        <w:gridCol w:w="531"/>
        <w:gridCol w:w="531"/>
        <w:gridCol w:w="532"/>
        <w:gridCol w:w="109"/>
        <w:gridCol w:w="109"/>
        <w:gridCol w:w="109"/>
        <w:gridCol w:w="211"/>
        <w:gridCol w:w="406"/>
        <w:gridCol w:w="109"/>
        <w:gridCol w:w="109"/>
        <w:gridCol w:w="109"/>
        <w:gridCol w:w="109"/>
        <w:gridCol w:w="211"/>
        <w:gridCol w:w="826"/>
        <w:gridCol w:w="109"/>
        <w:gridCol w:w="109"/>
        <w:gridCol w:w="109"/>
        <w:gridCol w:w="109"/>
        <w:gridCol w:w="480"/>
        <w:gridCol w:w="480"/>
        <w:gridCol w:w="683"/>
      </w:tblGrid>
      <w:tr>
        <w:trPr/>
        <w:tc>
          <w:tcPr>
            <w:tcW w:w="576"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op w:val="single" w:sz="8" w:space="0" w:color="FFFFFF"/>
              <w:left w:val="single" w:sz="8" w:space="0" w:color="FFFFFF"/>
            </w:tcBorders>
            <w:tcMar>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3"/>
            <w:vMerge w:val="restart"/>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Increase / (Decrease)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3" w:type="dxa"/>
            <w:gridSpan w:val="3"/>
            <w:vMerge w:val="restart"/>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Increase / (Decrease)</w:t>
            </w:r>
          </w:p>
        </w:tc>
      </w:tr>
      <w:tr>
        <w:trPr/>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3"/>
            <w:vMerge w:val="continue"/>
            <w:tcBorders>
              <w:top w:val="single" w:sz="8" w:space="0" w:color="FFFFFF"/>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3" w:type="dxa"/>
            <w:gridSpan w:val="3"/>
            <w:vMerge w:val="continue"/>
            <w:tcBorders>
              <w:top w:val="single" w:sz="8" w:space="0" w:color="FFFFFF"/>
            </w:tcBorders>
            <w:tcMar>
              <w:top w:w="30" w:type="dxa"/>
              <w:left w:w="0" w:type="dxa"/>
              <w:bottom w:w="0" w:type="dxa"/>
              <w:right w:w="0" w:type="dxa"/>
            </w:tcMar>
            <w:vAlign w:val="center"/>
          </w:tcPr>
          <w:p>
            <w:pPr>
              <w:pStyle w:val="Normal"/>
              <w:bidi w:val="0"/>
              <w:jc w:val="left"/>
              <w:rPr/>
            </w:pPr>
            <w:r>
              <w:rPr/>
            </w:r>
          </w:p>
        </w:tc>
      </w:tr>
      <w:tr>
        <w:trPr/>
        <w:tc>
          <w:tcPr>
            <w:tcW w:w="1589" w:type="dxa"/>
            <w:gridSpan w:val="3"/>
            <w:tcBorders>
              <w:left w:val="single" w:sz="8" w:space="0" w:color="FFFFFF"/>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3"/>
            <w:vMerge w:val="continue"/>
            <w:tcBorders>
              <w:top w:val="single" w:sz="8" w:space="0" w:color="FFFFFF"/>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3" w:type="dxa"/>
            <w:gridSpan w:val="3"/>
            <w:vMerge w:val="continue"/>
            <w:tcBorders>
              <w:top w:val="single" w:sz="8" w:space="0" w:color="FFFFFF"/>
            </w:tcBorders>
            <w:tcMar>
              <w:top w:w="30" w:type="dxa"/>
              <w:left w:w="0" w:type="dxa"/>
              <w:bottom w:w="0" w:type="dxa"/>
              <w:right w:w="0" w:type="dxa"/>
            </w:tcMar>
            <w:vAlign w:val="center"/>
          </w:tcPr>
          <w:p>
            <w:pPr>
              <w:pStyle w:val="Normal"/>
              <w:bidi w:val="0"/>
              <w:jc w:val="left"/>
              <w:rPr/>
            </w:pPr>
            <w:r>
              <w:rPr/>
            </w:r>
          </w:p>
        </w:tc>
      </w:tr>
      <w:tr>
        <w:trPr/>
        <w:tc>
          <w:tcPr>
            <w:tcW w:w="1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impairment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163,243 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163,243 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bl>
    <w:p>
      <w:pPr>
        <w:pStyle w:val="TextBody"/>
        <w:bidi w:val="0"/>
        <w:spacing w:lineRule="auto" w:line="288" w:before="180" w:after="200"/>
        <w:ind w:left="0" w:right="0" w:firstLine="450"/>
        <w:jc w:val="left"/>
        <w:rPr/>
      </w:pPr>
      <w:r>
        <w:rPr>
          <w:rFonts w:ascii="Times New Roman;serif" w:hAnsi="Times New Roman;serif"/>
          <w:b w:val="false"/>
          <w:color w:val="000000"/>
          <w:sz w:val="20"/>
        </w:rPr>
        <w:t xml:space="preserve">During the three months ended September 30, 2024, the FDA approved a generic competitor to EXPAREL and a U.S. District Court ruled that one of our patents was not valid. Due to these events and a subsequent decrease in our common stock price, it was determined these qualitative factors indicated it was more likely than not that the fair value of goodwill may be less than its carrying value. Accordingly, we performed a quantitative assessment through a discounted cash flow model (or income approach), which resulted in the carrying value of the Company exceeding its fair value by more than the goodwill balance. As a result, a goodwill impairment of $163.2 million was recorded during the three months ended September 30, 2024. For more information, see Note 8, </w:t>
      </w:r>
      <w:r>
        <w:rPr>
          <w:rFonts w:ascii="Times New Roman;serif" w:hAnsi="Times New Roman;serif"/>
          <w:b w:val="false"/>
          <w:i/>
          <w:color w:val="000000"/>
          <w:sz w:val="20"/>
        </w:rPr>
        <w:t>Goodwill and Intangible Assets</w:t>
      </w:r>
      <w:r>
        <w:rPr>
          <w:rFonts w:ascii="Times New Roman;serif" w:hAnsi="Times New Roman;serif"/>
          <w:b w:val="false"/>
          <w:color w:val="000000"/>
          <w:sz w:val="20"/>
        </w:rPr>
        <w:t>, to our condensed consolidated financial statements included herein.</w:t>
      </w:r>
    </w:p>
    <w:p>
      <w:pPr>
        <w:pStyle w:val="TextBody"/>
        <w:bidi w:val="0"/>
        <w:spacing w:lineRule="auto" w:line="288" w:before="180" w:after="200"/>
        <w:ind w:left="0" w:right="0" w:firstLine="450"/>
        <w:jc w:val="left"/>
        <w:rPr/>
      </w:pPr>
      <w:r>
        <w:rPr>
          <w:rFonts w:ascii="Times New Roman;serif" w:hAnsi="Times New Roman;serif"/>
          <w:b w:val="false"/>
          <w:color w:val="000000"/>
          <w:sz w:val="20"/>
        </w:rPr>
        <w:t>On April 7, 2025, we, along with our operating subsidiary, Pacira Pharmaceuticals, Inc., entered into a settlement agreement with eVenus Pharmaceutical Laboratories, Inc.; their parent company</w:t>
      </w:r>
      <w:r>
        <w:rPr>
          <w:color w:val="000000"/>
        </w:rPr>
        <w:t>—</w:t>
      </w:r>
      <w:r>
        <w:rPr>
          <w:rFonts w:ascii="Times New Roman;serif" w:hAnsi="Times New Roman;serif"/>
          <w:b w:val="false"/>
          <w:color w:val="000000"/>
          <w:sz w:val="20"/>
        </w:rPr>
        <w:t xml:space="preserve">Jiangsu Hengrui Pharmaceuticals, Co. Ltd.; and Fresenius Kabi USA, LLC, with respect to this matter. For more information, see Note 16, </w:t>
      </w:r>
      <w:r>
        <w:rPr>
          <w:rFonts w:ascii="Times New Roman;serif" w:hAnsi="Times New Roman;serif"/>
          <w:b w:val="false"/>
          <w:i/>
          <w:color w:val="000000"/>
          <w:sz w:val="20"/>
        </w:rPr>
        <w:t>Commitments and Contingencies</w:t>
      </w:r>
      <w:r>
        <w:rPr>
          <w:rFonts w:ascii="Times New Roman;serif" w:hAnsi="Times New Roman;serif"/>
          <w:b w:val="false"/>
          <w:color w:val="000000"/>
          <w:sz w:val="20"/>
        </w:rPr>
        <w:t>, to our condensed consolidated financial statements included herein.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52"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Q3 </w:t>
                            </w:r>
                            <w:r>
                              <w:rPr>
                                <w:rFonts w:ascii="Times New Roman;serif" w:hAnsi="Times New Roman;serif"/>
                                <w:b w:val="false"/>
                                <w:color w:val="000000"/>
                                <w:sz w:val="20"/>
                              </w:rPr>
                              <w:t>2025</w:t>
                            </w:r>
                            <w:r>
                              <w:rPr>
                                <w:color w:val="000000"/>
                              </w:rPr>
                              <w:t xml:space="preserve"> </w:t>
                            </w:r>
                            <w:r>
                              <w:rPr>
                                <w:rFonts w:ascii="Times New Roman;serif" w:hAnsi="Times New Roman;serif"/>
                                <w:b w:val="false"/>
                                <w:color w:val="000000"/>
                                <w:sz w:val="19"/>
                              </w:rPr>
                              <w:t>Form 10-Q | 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Q3 </w:t>
                      </w:r>
                      <w:r>
                        <w:rPr>
                          <w:rFonts w:ascii="Times New Roman;serif" w:hAnsi="Times New Roman;serif"/>
                          <w:b w:val="false"/>
                          <w:color w:val="000000"/>
                          <w:sz w:val="20"/>
                        </w:rPr>
                        <w:t>2025</w:t>
                      </w:r>
                      <w:r>
                        <w:rPr>
                          <w:color w:val="000000"/>
                        </w:rPr>
                        <w:t xml:space="preserve"> </w:t>
                      </w:r>
                      <w:r>
                        <w:rPr>
                          <w:rFonts w:ascii="Times New Roman;serif" w:hAnsi="Times New Roman;serif"/>
                          <w:b w:val="false"/>
                          <w:color w:val="000000"/>
                          <w:sz w:val="19"/>
                        </w:rPr>
                        <w:t>Form 10-Q | 49</w:t>
                      </w:r>
                    </w:p>
                  </w:txbxContent>
                </v:textbox>
                <w10:wrap type="none"/>
              </v:rect>
            </w:pict>
          </mc:Fallback>
        </mc:AlternateContent>
      </w:r>
    </w:p>
    <w:p>
      <w:pPr>
        <w:pStyle w:val="TextBody"/>
        <w:bidi w:val="0"/>
        <w:spacing w:lineRule="auto" w:line="288" w:before="0" w:after="0"/>
        <w:jc w:val="left"/>
        <w:rPr/>
      </w:pPr>
      <w:hyperlink w:anchor="i004be9cfd92c48c78448e0b03d16957e_7">
        <w:r>
          <w:rPr>
            <w:rStyle w:val="InternetLink"/>
            <w:rFonts w:ascii="Times New Roman;serif" w:hAnsi="Times New Roman;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Contingent Consideration Charges (Gains), Acquisition-related Expenses, Restructuring and Other</w:t>
      </w:r>
    </w:p>
    <w:p>
      <w:pPr>
        <w:pStyle w:val="TextBody"/>
        <w:bidi w:val="0"/>
        <w:spacing w:lineRule="auto" w:line="288"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provides a summary of the costs related to the contingent consideration charges (gains), acquisition-related expenses, restructuring and other during the periods indicated, including percent changes (dollar amounts in thousands): </w:t>
      </w:r>
    </w:p>
    <w:tbl>
      <w:tblPr>
        <w:tblW w:w="10205" w:type="dxa"/>
        <w:jc w:val="left"/>
        <w:tblInd w:w="0" w:type="dxa"/>
        <w:tblLayout w:type="fixed"/>
        <w:tblCellMar>
          <w:top w:w="28" w:type="dxa"/>
          <w:left w:w="28" w:type="dxa"/>
          <w:bottom w:w="28" w:type="dxa"/>
          <w:right w:w="28" w:type="dxa"/>
        </w:tblCellMar>
      </w:tblPr>
      <w:tblGrid>
        <w:gridCol w:w="1184"/>
        <w:gridCol w:w="642"/>
        <w:gridCol w:w="644"/>
        <w:gridCol w:w="211"/>
        <w:gridCol w:w="616"/>
        <w:gridCol w:w="109"/>
        <w:gridCol w:w="109"/>
        <w:gridCol w:w="109"/>
        <w:gridCol w:w="109"/>
        <w:gridCol w:w="211"/>
        <w:gridCol w:w="637"/>
        <w:gridCol w:w="109"/>
        <w:gridCol w:w="109"/>
        <w:gridCol w:w="109"/>
        <w:gridCol w:w="109"/>
        <w:gridCol w:w="359"/>
        <w:gridCol w:w="359"/>
        <w:gridCol w:w="360"/>
        <w:gridCol w:w="109"/>
        <w:gridCol w:w="109"/>
        <w:gridCol w:w="109"/>
        <w:gridCol w:w="211"/>
        <w:gridCol w:w="721"/>
        <w:gridCol w:w="109"/>
        <w:gridCol w:w="109"/>
        <w:gridCol w:w="109"/>
        <w:gridCol w:w="109"/>
        <w:gridCol w:w="211"/>
        <w:gridCol w:w="637"/>
        <w:gridCol w:w="109"/>
        <w:gridCol w:w="109"/>
        <w:gridCol w:w="109"/>
        <w:gridCol w:w="109"/>
        <w:gridCol w:w="329"/>
        <w:gridCol w:w="329"/>
        <w:gridCol w:w="473"/>
      </w:tblGrid>
      <w:tr>
        <w:trPr/>
        <w:tc>
          <w:tcPr>
            <w:tcW w:w="1184"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r>
      <w:tr>
        <w:trPr/>
        <w:tc>
          <w:tcPr>
            <w:tcW w:w="2470" w:type="dxa"/>
            <w:gridSpan w:val="3"/>
            <w:tcBorders>
              <w:top w:val="single" w:sz="8" w:space="0" w:color="FFFFFF"/>
              <w:left w:val="single" w:sz="8" w:space="0" w:color="FFFFFF"/>
            </w:tcBorders>
            <w:tcMar>
              <w:bottom w:w="0" w:type="dxa"/>
              <w:right w:w="0" w:type="dxa"/>
            </w:tcMar>
            <w:vAlign w:val="center"/>
          </w:tcPr>
          <w:p>
            <w:pPr>
              <w:pStyle w:val="TableContents"/>
              <w:bidi w:val="0"/>
              <w:spacing w:before="0" w:after="283"/>
              <w:jc w:val="left"/>
              <w:rPr>
                <w:sz w:val="4"/>
                <w:szCs w:val="4"/>
              </w:rPr>
            </w:pPr>
            <w:r>
              <w:rPr>
                <w:sz w:val="4"/>
                <w:szCs w:val="4"/>
              </w:rPr>
            </w:r>
          </w:p>
        </w:tc>
        <w:tc>
          <w:tcPr>
            <w:tcW w:w="2220" w:type="dxa"/>
            <w:gridSpan w:val="9"/>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vMerge w:val="restart"/>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Increase / (Decrease)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9"/>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vMerge w:val="restart"/>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Increase / (Decrease)</w:t>
            </w:r>
          </w:p>
        </w:tc>
      </w:tr>
      <w:tr>
        <w:trPr/>
        <w:tc>
          <w:tcPr>
            <w:tcW w:w="2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0" w:type="dxa"/>
            <w:gridSpan w:val="9"/>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vMerge w:val="continue"/>
            <w:tcBorders>
              <w:top w:val="single" w:sz="8" w:space="0" w:color="FFFFFF"/>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9"/>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vMerge w:val="continue"/>
            <w:tcBorders>
              <w:top w:val="single" w:sz="8" w:space="0" w:color="FFFFFF"/>
            </w:tcBorders>
            <w:tcMar>
              <w:top w:w="30" w:type="dxa"/>
              <w:left w:w="0" w:type="dxa"/>
              <w:bottom w:w="0" w:type="dxa"/>
              <w:right w:w="0" w:type="dxa"/>
            </w:tcMar>
            <w:vAlign w:val="center"/>
          </w:tcPr>
          <w:p>
            <w:pPr>
              <w:pStyle w:val="Normal"/>
              <w:bidi w:val="0"/>
              <w:jc w:val="left"/>
              <w:rPr/>
            </w:pPr>
            <w:r>
              <w:rPr/>
            </w:r>
          </w:p>
        </w:tc>
      </w:tr>
      <w:tr>
        <w:trPr/>
        <w:tc>
          <w:tcPr>
            <w:tcW w:w="2470" w:type="dxa"/>
            <w:gridSpan w:val="3"/>
            <w:tcBorders>
              <w:left w:val="single" w:sz="8" w:space="0" w:color="FFFFFF"/>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vMerge w:val="continue"/>
            <w:tcBorders>
              <w:top w:val="single" w:sz="8" w:space="0" w:color="FFFFFF"/>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vMerge w:val="continue"/>
            <w:tcBorders>
              <w:top w:val="single" w:sz="8" w:space="0" w:color="FFFFFF"/>
            </w:tcBorders>
            <w:tcMar>
              <w:top w:w="30" w:type="dxa"/>
              <w:left w:w="0" w:type="dxa"/>
              <w:bottom w:w="0" w:type="dxa"/>
              <w:right w:w="0" w:type="dxa"/>
            </w:tcMar>
            <w:vAlign w:val="center"/>
          </w:tcPr>
          <w:p>
            <w:pPr>
              <w:pStyle w:val="Normal"/>
              <w:bidi w:val="0"/>
              <w:jc w:val="left"/>
              <w:rPr/>
            </w:pPr>
            <w:r>
              <w:rPr/>
            </w:r>
          </w:p>
        </w:tc>
      </w:tr>
      <w:tr>
        <w:trPr/>
        <w:tc>
          <w:tcPr>
            <w:tcW w:w="2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consideration charges (gains)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(57)%</w:t>
            </w:r>
          </w:p>
        </w:tc>
      </w:tr>
      <w:tr>
        <w:trPr/>
        <w:tc>
          <w:tcPr>
            <w:tcW w:w="2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charges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(52)%</w:t>
            </w:r>
          </w:p>
        </w:tc>
      </w:tr>
      <w:tr>
        <w:trPr/>
        <w:tc>
          <w:tcPr>
            <w:tcW w:w="247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2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Acquisition-related expenses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247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2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Legal settlement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2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Legal judgment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2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of acquired in-process research &amp; development (IPR&amp;D)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2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contingent consideration charges (gains), acquisition-related expenses, restructuring and other</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13,261 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bl>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During the three and nine months ended September 30, 2025, total contingent consideration charges (gains), acquisition-related expenses, restructuring and other included net charges of $6.8 million and $13.3 million, respectively. During the three and nine months ended September 30, 2024, total contingent consideration charges (gains), acquisition-related expenses, restructuring and other included net gains of $1.8 million and net charges of $2.9 million, respectively.</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September 30, 2025, we recognized contingent consideration charges of $0.6 million due revisions to the latest discount rates, partially offset by a reduction in the sales forecast through the milestone expiration date of December 31, 2030. During the nine months ended September 30, 2025, we recognized contingent consideration gains of $2.4 million due to revisions to the latest discount rates.</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During the three and nine months ended September 30, 2024, we recognized contingent consideration gains of $3.2 million and $5.5 million, respectively, primarily due to adjustments reflecting the probability of achieving the remaining Flexion regulatory milestone by the milestone expiration date, partially offset by revisions to the latest discount rates.</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July 2025, as a result of improving manufacturing efficiencies for EXPAREL, we instituted a reduction in force at our Science Center Campus in San Diego, California. Our enhanced efficiencies are the result of our multi-year investment in two large-scale 200+ liter EXPAREL batch manufacturing suites located in San Diego and Swindon, U.K., which commenced commercial production in 2024 and 2021, respectively. As a result, during both the three and nine months ended September 30, 2025, we recognized $3.7 million of pre-tax employee termination benefit charges which consist of garden leave under California employment law, severance, healthcare benefits, and, to a lesser extent, other one-time termination benefits.</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In February 2024, we initiated a restructuring plan to ensure that we are well positioned for long-term growth. The restructuring plan included, among other things: (i) reshaping our executive team; (ii) reallocating efforts and resources from our ex-U.S. and certain early-stage development programs to our commercial portfolio in the U.S. market; and (iii) reprioritizing investments to focus on other commercial initiatives. As a result, during the three and nine months ended September 30, 2024, we recognized restructuring charges of $1.2 million and $7.7 million, respectively, related to employee termination benefits, such as the acceleration of share-based compensation, severance, and, to a lesser extent, other employment-related termination costs, as well as contract termination costs. </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During the nine months ended September 30, 2025, we recognized acquisition-related expenses of $2.2 million primarily related to third-party services and legal fees associated with the GQ Bio Acquisition.</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During the nine months ended September 30, 2025, we recognized legal settlement costs of $7.0 million related to the settlement of the patent infringement suits against Fresenius Kabi USA, LLC, eVenus Pharmaceuticals Laboratories, Inc. and Jiangsu Hengrui Pharmaceuticals Co., Ltd.</w:t>
      </w:r>
    </w:p>
    <w:p>
      <w:pPr>
        <w:pStyle w:val="TextBody"/>
        <w:bidi w:val="0"/>
        <w:spacing w:lineRule="auto" w:line="288" w:before="180" w:after="283"/>
        <w:ind w:left="0" w:right="0" w:firstLine="450"/>
        <w:jc w:val="left"/>
        <w:rPr/>
      </w:pPr>
      <w:r>
        <w:rPr>
          <w:rFonts w:ascii="Times New Roman;serif" w:hAnsi="Times New Roman;serif"/>
          <w:b w:val="false"/>
          <w:color w:val="000000"/>
          <w:sz w:val="20"/>
        </w:rPr>
        <w:t>During the three and nine months ended September 30, 2025, we recognized $23.1 million</w:t>
      </w:r>
      <w:r>
        <w:rPr>
          <w:color w:val="212529"/>
        </w:rPr>
        <w:t xml:space="preserve"> </w:t>
      </w:r>
      <w:r>
        <w:rPr>
          <w:rFonts w:ascii="Times New Roman;serif" w:hAnsi="Times New Roman;serif"/>
          <w:b w:val="false"/>
          <w:color w:val="212529"/>
          <w:sz w:val="20"/>
        </w:rPr>
        <w:t xml:space="preserve">in other income upon receipt of a cash payment associated with the U.S. District Court for the District of Nevada issuing judgment </w:t>
      </w:r>
      <w:r>
        <w:rPr>
          <w:rFonts w:ascii="Times New Roman;serif" w:hAnsi="Times New Roman;serif"/>
          <w:b w:val="false"/>
          <w:color w:val="000000"/>
          <w:sz w:val="20"/>
        </w:rPr>
        <w:t xml:space="preserve">declaring that RDF was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53"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Q3 </w:t>
                            </w:r>
                            <w:r>
                              <w:rPr>
                                <w:rFonts w:ascii="Times New Roman;serif" w:hAnsi="Times New Roman;serif"/>
                                <w:b w:val="false"/>
                                <w:color w:val="000000"/>
                                <w:sz w:val="20"/>
                              </w:rPr>
                              <w:t>2025</w:t>
                            </w:r>
                            <w:r>
                              <w:rPr>
                                <w:color w:val="000000"/>
                              </w:rPr>
                              <w:t xml:space="preserve"> </w:t>
                            </w:r>
                            <w:r>
                              <w:rPr>
                                <w:rFonts w:ascii="Times New Roman;serif" w:hAnsi="Times New Roman;serif"/>
                                <w:b w:val="false"/>
                                <w:color w:val="000000"/>
                                <w:sz w:val="19"/>
                              </w:rPr>
                              <w:t>Form 10-Q | 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Q3 </w:t>
                      </w:r>
                      <w:r>
                        <w:rPr>
                          <w:rFonts w:ascii="Times New Roman;serif" w:hAnsi="Times New Roman;serif"/>
                          <w:b w:val="false"/>
                          <w:color w:val="000000"/>
                          <w:sz w:val="20"/>
                        </w:rPr>
                        <w:t>2025</w:t>
                      </w:r>
                      <w:r>
                        <w:rPr>
                          <w:color w:val="000000"/>
                        </w:rPr>
                        <w:t xml:space="preserve"> </w:t>
                      </w:r>
                      <w:r>
                        <w:rPr>
                          <w:rFonts w:ascii="Times New Roman;serif" w:hAnsi="Times New Roman;serif"/>
                          <w:b w:val="false"/>
                          <w:color w:val="000000"/>
                          <w:sz w:val="19"/>
                        </w:rPr>
                        <w:t>Form 10-Q | 50</w:t>
                      </w:r>
                    </w:p>
                  </w:txbxContent>
                </v:textbox>
                <w10:wrap type="none"/>
              </v:rect>
            </w:pict>
          </mc:Fallback>
        </mc:AlternateContent>
      </w:r>
    </w:p>
    <w:p>
      <w:pPr>
        <w:pStyle w:val="TextBody"/>
        <w:bidi w:val="0"/>
        <w:spacing w:lineRule="auto" w:line="288" w:before="0" w:after="0"/>
        <w:jc w:val="left"/>
        <w:rPr/>
      </w:pPr>
      <w:hyperlink w:anchor="i004be9cfd92c48c78448e0b03d16957e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required to repay us the royalties on EXPAREL sales that we previously paid under protest. In May and September 2025, RDF filed two notices of appeal which are pending.</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During both the three and nine months ended September 30, 2025, we recorded a $25.9 million in-process research and development (IPR&amp;D) impairment associated with our ZILRETTA shoulder asset due to revised completion timelines for clinical trials and commercial availability which directly impacted revenue forecasts, among other factors.</w:t>
      </w:r>
    </w:p>
    <w:p>
      <w:pPr>
        <w:pStyle w:val="TextBody"/>
        <w:bidi w:val="0"/>
        <w:spacing w:lineRule="auto" w:line="288" w:before="180" w:after="283"/>
        <w:ind w:left="0" w:right="0" w:firstLine="450"/>
        <w:jc w:val="left"/>
        <w:rPr/>
      </w:pPr>
      <w:r>
        <w:rPr>
          <w:rFonts w:ascii="Times New Roman;serif" w:hAnsi="Times New Roman;serif"/>
          <w:b w:val="false"/>
          <w:color w:val="000000"/>
          <w:sz w:val="20"/>
        </w:rPr>
        <w:t xml:space="preserve">For more information on these events, see Note 3, </w:t>
      </w:r>
      <w:r>
        <w:rPr>
          <w:rFonts w:ascii="Times New Roman;serif" w:hAnsi="Times New Roman;serif"/>
          <w:b w:val="false"/>
          <w:i/>
          <w:color w:val="000000"/>
          <w:sz w:val="20"/>
        </w:rPr>
        <w:t>GQ Bio Therapeutics Acquisition</w:t>
      </w:r>
      <w:r>
        <w:rPr>
          <w:rFonts w:ascii="Times New Roman;serif" w:hAnsi="Times New Roman;serif"/>
          <w:b w:val="false"/>
          <w:color w:val="000000"/>
          <w:sz w:val="20"/>
        </w:rPr>
        <w:t xml:space="preserve">, Note 8, </w:t>
      </w:r>
      <w:r>
        <w:rPr>
          <w:rFonts w:ascii="Times New Roman;serif" w:hAnsi="Times New Roman;serif"/>
          <w:b w:val="false"/>
          <w:i/>
          <w:color w:val="000000"/>
          <w:sz w:val="20"/>
        </w:rPr>
        <w:t>Goodwill and Intangible Assets</w:t>
      </w:r>
      <w:r>
        <w:rPr>
          <w:rFonts w:ascii="Times New Roman;serif" w:hAnsi="Times New Roman;serif"/>
          <w:b w:val="false"/>
          <w:color w:val="000000"/>
          <w:sz w:val="20"/>
        </w:rPr>
        <w:t xml:space="preserve">, Note 10, </w:t>
      </w:r>
      <w:r>
        <w:rPr>
          <w:rFonts w:ascii="Times New Roman;serif" w:hAnsi="Times New Roman;serif"/>
          <w:b w:val="false"/>
          <w:i/>
          <w:color w:val="000000"/>
          <w:sz w:val="20"/>
        </w:rPr>
        <w:t>Financial Instruments,</w:t>
      </w:r>
      <w:r>
        <w:rPr>
          <w:color w:val="000000"/>
        </w:rPr>
        <w:t xml:space="preserve"> </w:t>
      </w:r>
      <w:r>
        <w:rPr>
          <w:rFonts w:ascii="Times New Roman;serif" w:hAnsi="Times New Roman;serif"/>
          <w:b w:val="false"/>
          <w:color w:val="000000"/>
          <w:sz w:val="20"/>
        </w:rPr>
        <w:t xml:space="preserve">Note 15, </w:t>
      </w:r>
      <w:r>
        <w:rPr>
          <w:rFonts w:ascii="Times New Roman;serif" w:hAnsi="Times New Roman;serif"/>
          <w:b w:val="false"/>
          <w:i/>
          <w:color w:val="000000"/>
          <w:sz w:val="20"/>
        </w:rPr>
        <w:t xml:space="preserve">Contingent Consideration Charges (Gains), Acquisition-related Expenses, Restructuring and Other </w:t>
      </w:r>
      <w:r>
        <w:rPr>
          <w:rFonts w:ascii="Times New Roman;serif" w:hAnsi="Times New Roman;serif"/>
          <w:b w:val="false"/>
          <w:color w:val="000000"/>
          <w:sz w:val="20"/>
        </w:rPr>
        <w:t xml:space="preserve">and Note 16, </w:t>
      </w:r>
      <w:r>
        <w:rPr>
          <w:rFonts w:ascii="Times New Roman;serif" w:hAnsi="Times New Roman;serif"/>
          <w:b w:val="false"/>
          <w:i/>
          <w:color w:val="000000"/>
          <w:sz w:val="20"/>
        </w:rPr>
        <w:t>Commitments and Contingencies,</w:t>
      </w:r>
      <w:r>
        <w:rPr>
          <w:color w:val="000000"/>
        </w:rPr>
        <w:t xml:space="preserve"> </w:t>
      </w:r>
      <w:r>
        <w:rPr>
          <w:rFonts w:ascii="Times New Roman;serif" w:hAnsi="Times New Roman;serif"/>
          <w:b w:val="false"/>
          <w:color w:val="000000"/>
          <w:sz w:val="20"/>
        </w:rPr>
        <w:t xml:space="preserve">to our condensed consolidated financial statements included herein.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Other Income (Loss), Net</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information regarding other income, net during the periods indicated, including percent changes (dollar amounts in thousands):</w:t>
      </w:r>
    </w:p>
    <w:tbl>
      <w:tblPr>
        <w:tblW w:w="10205" w:type="dxa"/>
        <w:jc w:val="left"/>
        <w:tblInd w:w="0" w:type="dxa"/>
        <w:tblLayout w:type="fixed"/>
        <w:tblCellMar>
          <w:top w:w="28" w:type="dxa"/>
          <w:left w:w="28" w:type="dxa"/>
          <w:bottom w:w="28" w:type="dxa"/>
          <w:right w:w="28" w:type="dxa"/>
        </w:tblCellMar>
      </w:tblPr>
      <w:tblGrid>
        <w:gridCol w:w="756"/>
        <w:gridCol w:w="662"/>
        <w:gridCol w:w="648"/>
        <w:gridCol w:w="211"/>
        <w:gridCol w:w="616"/>
        <w:gridCol w:w="109"/>
        <w:gridCol w:w="109"/>
        <w:gridCol w:w="109"/>
        <w:gridCol w:w="109"/>
        <w:gridCol w:w="211"/>
        <w:gridCol w:w="616"/>
        <w:gridCol w:w="109"/>
        <w:gridCol w:w="109"/>
        <w:gridCol w:w="109"/>
        <w:gridCol w:w="109"/>
        <w:gridCol w:w="416"/>
        <w:gridCol w:w="416"/>
        <w:gridCol w:w="417"/>
        <w:gridCol w:w="109"/>
        <w:gridCol w:w="109"/>
        <w:gridCol w:w="109"/>
        <w:gridCol w:w="211"/>
        <w:gridCol w:w="721"/>
        <w:gridCol w:w="109"/>
        <w:gridCol w:w="109"/>
        <w:gridCol w:w="109"/>
        <w:gridCol w:w="109"/>
        <w:gridCol w:w="211"/>
        <w:gridCol w:w="721"/>
        <w:gridCol w:w="109"/>
        <w:gridCol w:w="109"/>
        <w:gridCol w:w="109"/>
        <w:gridCol w:w="109"/>
        <w:gridCol w:w="379"/>
        <w:gridCol w:w="379"/>
        <w:gridCol w:w="543"/>
      </w:tblGrid>
      <w:tr>
        <w:trPr/>
        <w:tc>
          <w:tcPr>
            <w:tcW w:w="756"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r>
      <w:tr>
        <w:trPr/>
        <w:tc>
          <w:tcPr>
            <w:tcW w:w="2066" w:type="dxa"/>
            <w:gridSpan w:val="3"/>
            <w:tcBorders>
              <w:top w:val="single" w:sz="8" w:space="0" w:color="FFFFFF"/>
              <w:left w:val="single" w:sz="8" w:space="0" w:color="FFFFFF"/>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September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vMerge w:val="restart"/>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Increase / (Decrease)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w:t>
              <w:br/>
              <w:t>September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vMerge w:val="restart"/>
            <w:tcBorders>
              <w:top w:val="single" w:sz="8" w:space="0" w:color="FFFFF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Increase / (Decrease)</w:t>
            </w:r>
          </w:p>
        </w:tc>
      </w:tr>
      <w:tr>
        <w:trPr/>
        <w:tc>
          <w:tcPr>
            <w:tcW w:w="2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vMerge w:val="continue"/>
            <w:tcBorders>
              <w:top w:val="single" w:sz="8" w:space="0" w:color="FFFFFF"/>
            </w:tcBorders>
            <w:tcMar>
              <w:top w:w="3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vMerge w:val="continue"/>
            <w:tcBorders>
              <w:top w:val="single" w:sz="8" w:space="0" w:color="FFFFFF"/>
            </w:tcBorders>
            <w:shd w:fill="FFFFFF" w:val="clear"/>
            <w:tcMar>
              <w:top w:w="30" w:type="dxa"/>
              <w:left w:w="0" w:type="dxa"/>
              <w:bottom w:w="0" w:type="dxa"/>
              <w:right w:w="0" w:type="dxa"/>
            </w:tcMar>
            <w:vAlign w:val="center"/>
          </w:tcPr>
          <w:p>
            <w:pPr>
              <w:pStyle w:val="Normal"/>
              <w:bidi w:val="0"/>
              <w:jc w:val="left"/>
              <w:rPr/>
            </w:pPr>
            <w:r>
              <w:rPr/>
            </w:r>
          </w:p>
        </w:tc>
      </w:tr>
      <w:tr>
        <w:trPr/>
        <w:tc>
          <w:tcPr>
            <w:tcW w:w="2066" w:type="dxa"/>
            <w:gridSpan w:val="3"/>
            <w:tcBorders>
              <w:left w:val="single" w:sz="8" w:space="0" w:color="FFFFFF"/>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vMerge w:val="continue"/>
            <w:tcBorders>
              <w:top w:val="single" w:sz="8" w:space="0" w:color="FFFFFF"/>
            </w:tcBorders>
            <w:tcMar>
              <w:top w:w="3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vMerge w:val="continue"/>
            <w:tcBorders>
              <w:top w:val="single" w:sz="8" w:space="0" w:color="FFFFFF"/>
            </w:tcBorders>
            <w:shd w:fill="FFFFFF" w:val="clear"/>
            <w:tcMar>
              <w:top w:w="30" w:type="dxa"/>
              <w:left w:w="0" w:type="dxa"/>
              <w:bottom w:w="0" w:type="dxa"/>
              <w:right w:w="0" w:type="dxa"/>
            </w:tcMar>
            <w:vAlign w:val="center"/>
          </w:tcPr>
          <w:p>
            <w:pPr>
              <w:pStyle w:val="Normal"/>
              <w:bidi w:val="0"/>
              <w:jc w:val="left"/>
              <w:rPr/>
            </w:pPr>
            <w:r>
              <w:rPr/>
            </w:r>
          </w:p>
        </w:tc>
      </w:tr>
      <w:tr>
        <w:trPr/>
        <w:tc>
          <w:tcPr>
            <w:tcW w:w="2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45%</w:t>
            </w:r>
          </w:p>
        </w:tc>
      </w:tr>
      <w:tr>
        <w:trPr/>
        <w:tc>
          <w:tcPr>
            <w:tcW w:w="2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w:t>
            </w:r>
          </w:p>
        </w:tc>
      </w:tr>
      <w:tr>
        <w:trPr/>
        <w:tc>
          <w:tcPr>
            <w:tcW w:w="2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gain on early extinguishment of debt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2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2066" w:type="dxa"/>
            <w:gridSpan w:val="3"/>
            <w:tcBorders>
              <w:left w:val="single" w:sz="8" w:space="0" w:color="FFFFFF"/>
            </w:tcBorders>
            <w:shd w:fill="CCEEFF" w:val="clear"/>
            <w:tcMar>
              <w:top w:w="0" w:type="dxa"/>
              <w:left w:w="14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 (loss),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9,443 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r>
    </w:tbl>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Total other income (loss), net in the three and nine months ended September 30, 2025 included net other income of $3.2 million and a net other loss of $0.5 million, respectively. Total other income, net in the three and nine months ended September 30, 2024 was $0.7 million and $9.4 million, respectively.</w:t>
      </w:r>
    </w:p>
    <w:p>
      <w:pPr>
        <w:pStyle w:val="TextBody"/>
        <w:bidi w:val="0"/>
        <w:spacing w:lineRule="auto" w:line="288" w:before="180" w:after="283"/>
        <w:ind w:left="0" w:right="0" w:firstLine="450"/>
        <w:jc w:val="left"/>
        <w:rPr/>
      </w:pPr>
      <w:r>
        <w:rPr>
          <w:rFonts w:ascii="Times New Roman;serif" w:hAnsi="Times New Roman;serif"/>
          <w:b w:val="false"/>
          <w:color w:val="000000"/>
          <w:sz w:val="20"/>
        </w:rPr>
        <w:t xml:space="preserve">Interest income increased 56% and 45% in the three and nine months ended September 30, 2025 versus 2024, respectively, due to interest income associated with the </w:t>
      </w:r>
      <w:r>
        <w:rPr>
          <w:rFonts w:ascii="Times New Roman;serif" w:hAnsi="Times New Roman;serif"/>
          <w:b w:val="false"/>
          <w:color w:val="212529"/>
          <w:sz w:val="20"/>
        </w:rPr>
        <w:t xml:space="preserve">judgment surrounding the </w:t>
      </w:r>
      <w:r>
        <w:rPr>
          <w:rFonts w:ascii="Times New Roman;serif" w:hAnsi="Times New Roman;serif"/>
          <w:b w:val="false"/>
          <w:color w:val="000000"/>
          <w:sz w:val="20"/>
        </w:rPr>
        <w:t xml:space="preserve">RDF legal proceeding, as well as interest realized on a GQ Bio note receivable investment we had made prior to the GQ Bio Acquisition, partially offset by lower interest rate and lower cash balances after repayment of the 2025 Notes. For more information on the RDF legal judgment, see Note 16, </w:t>
      </w:r>
      <w:r>
        <w:rPr>
          <w:rFonts w:ascii="Times New Roman;serif" w:hAnsi="Times New Roman;serif"/>
          <w:b w:val="false"/>
          <w:i/>
          <w:color w:val="000000"/>
          <w:sz w:val="20"/>
        </w:rPr>
        <w:t>Commitments and Contingencies,</w:t>
      </w:r>
      <w:r>
        <w:rPr>
          <w:color w:val="000000"/>
        </w:rPr>
        <w:t xml:space="preserve"> </w:t>
      </w:r>
      <w:r>
        <w:rPr>
          <w:rFonts w:ascii="Times New Roman;serif" w:hAnsi="Times New Roman;serif"/>
          <w:b w:val="false"/>
          <w:color w:val="000000"/>
          <w:sz w:val="20"/>
        </w:rPr>
        <w:t xml:space="preserve">to our condensed consolidated financial statements included herein. </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Interest expense decreased 9% in the three months ended September 30, 2025 versus 2024, primarily due to the repayment of 2025 Notes and lower interest rate Revolving Credit Facility. Interest expense increased 14% in the nine months ended September 30, 2025 versus 2024 primarily due to the completion of a project that had incurred capitalized interest in the comparable period, as well as issuing the 2029 Notes (as defined below) in May 2024. For more information, see Note 9, Debt, to our condensed consolidated financial statements included herein.</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In the three and nine months ended, September 30, 2025, we recognized a $1.0 million loss on early extinguishment of debt in conjunction with the repayment of the TLA Term Loan. In the nine months ended September 30, 2024, we recognized a $7.5 million gain on early extinguishment of debt in conjunction with the repurchase of $200.0 million principal of our 2025 Notes (as defined below). </w:t>
      </w:r>
    </w:p>
    <w:p>
      <w:pPr>
        <w:pStyle w:val="TextBody"/>
        <w:bidi w:val="0"/>
        <w:spacing w:lineRule="auto" w:line="288" w:before="180" w:after="283"/>
        <w:ind w:left="0" w:right="0" w:firstLine="450"/>
        <w:jc w:val="left"/>
        <w:rPr/>
      </w:pPr>
      <w:r>
        <w:rPr>
          <w:rFonts w:ascii="Times New Roman;serif" w:hAnsi="Times New Roman;serif"/>
          <w:b w:val="false"/>
          <w:color w:val="000000"/>
          <w:sz w:val="20"/>
        </w:rPr>
        <w:t xml:space="preserve">The $6.4 million other net loss during the nine months ended September 30, 2025 was primarily driven by an impairment of an equity investment and convertible note receivable totaling $11.0 million, partially offset by a realized gain associated with a previously acquired equity investment in GQ Bio that increased in fair value resulting from the GQ Bio Acquisition. For more information, see Note 3, </w:t>
      </w:r>
      <w:r>
        <w:rPr>
          <w:rFonts w:ascii="Times New Roman;serif" w:hAnsi="Times New Roman;serif"/>
          <w:b w:val="false"/>
          <w:i/>
          <w:color w:val="000000"/>
          <w:sz w:val="20"/>
        </w:rPr>
        <w:t>GQ Bio Therapeutics Acquisition</w:t>
      </w:r>
      <w:r>
        <w:rPr>
          <w:rFonts w:ascii="Times New Roman;serif" w:hAnsi="Times New Roman;serif"/>
          <w:b w:val="false"/>
          <w:color w:val="000000"/>
          <w:sz w:val="20"/>
        </w:rPr>
        <w:t xml:space="preserve">, and Note 10, </w:t>
      </w:r>
      <w:r>
        <w:rPr>
          <w:rFonts w:ascii="Times New Roman;serif" w:hAnsi="Times New Roman;serif"/>
          <w:b w:val="false"/>
          <w:i/>
          <w:color w:val="000000"/>
          <w:sz w:val="20"/>
        </w:rPr>
        <w:t>Financial Instruments</w:t>
      </w:r>
      <w:r>
        <w:rPr>
          <w:rFonts w:ascii="Times New Roman;serif" w:hAnsi="Times New Roman;serif"/>
          <w:b w:val="false"/>
          <w:color w:val="000000"/>
          <w:sz w:val="20"/>
        </w:rPr>
        <w:t>, to our condensed consolidated financial statements included herein.</w:t>
      </w:r>
    </w:p>
    <w:p>
      <w:pPr>
        <w:pStyle w:val="TextBody"/>
        <w:bidi w:val="0"/>
        <w:spacing w:before="18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54"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Q3 </w:t>
                            </w:r>
                            <w:r>
                              <w:rPr>
                                <w:rFonts w:ascii="Times New Roman;serif" w:hAnsi="Times New Roman;serif"/>
                                <w:b w:val="false"/>
                                <w:color w:val="000000"/>
                                <w:sz w:val="20"/>
                              </w:rPr>
                              <w:t>2025</w:t>
                            </w:r>
                            <w:r>
                              <w:rPr>
                                <w:color w:val="000000"/>
                              </w:rPr>
                              <w:t xml:space="preserve"> </w:t>
                            </w:r>
                            <w:r>
                              <w:rPr>
                                <w:rFonts w:ascii="Times New Roman;serif" w:hAnsi="Times New Roman;serif"/>
                                <w:b w:val="false"/>
                                <w:color w:val="000000"/>
                                <w:sz w:val="19"/>
                              </w:rPr>
                              <w:t>Form 10-Q | 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Q3 </w:t>
                      </w:r>
                      <w:r>
                        <w:rPr>
                          <w:rFonts w:ascii="Times New Roman;serif" w:hAnsi="Times New Roman;serif"/>
                          <w:b w:val="false"/>
                          <w:color w:val="000000"/>
                          <w:sz w:val="20"/>
                        </w:rPr>
                        <w:t>2025</w:t>
                      </w:r>
                      <w:r>
                        <w:rPr>
                          <w:color w:val="000000"/>
                        </w:rPr>
                        <w:t xml:space="preserve"> </w:t>
                      </w:r>
                      <w:r>
                        <w:rPr>
                          <w:rFonts w:ascii="Times New Roman;serif" w:hAnsi="Times New Roman;serif"/>
                          <w:b w:val="false"/>
                          <w:color w:val="000000"/>
                          <w:sz w:val="19"/>
                        </w:rPr>
                        <w:t>Form 10-Q | 51</w:t>
                      </w:r>
                    </w:p>
                  </w:txbxContent>
                </v:textbox>
                <w10:wrap type="none"/>
              </v:rect>
            </w:pict>
          </mc:Fallback>
        </mc:AlternateContent>
      </w:r>
    </w:p>
    <w:p>
      <w:pPr>
        <w:pStyle w:val="TextBody"/>
        <w:bidi w:val="0"/>
        <w:spacing w:lineRule="auto" w:line="288" w:before="0" w:after="0"/>
        <w:jc w:val="left"/>
        <w:rPr/>
      </w:pPr>
      <w:hyperlink w:anchor="i004be9cfd92c48c78448e0b03d16957e_7">
        <w:r>
          <w:rPr>
            <w:rStyle w:val="InternetLink"/>
            <w:rFonts w:ascii="Times New Roman;serif" w:hAnsi="Times New Roman;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Income Tax Expense</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information regarding our income tax expense during the periods indicated, including percent changes (dollar amounts in thousands):</w:t>
      </w:r>
    </w:p>
    <w:tbl>
      <w:tblPr>
        <w:tblW w:w="10205" w:type="dxa"/>
        <w:jc w:val="left"/>
        <w:tblInd w:w="0" w:type="dxa"/>
        <w:tblLayout w:type="fixed"/>
        <w:tblCellMar>
          <w:top w:w="28" w:type="dxa"/>
          <w:left w:w="28" w:type="dxa"/>
          <w:bottom w:w="28" w:type="dxa"/>
          <w:right w:w="28" w:type="dxa"/>
        </w:tblCellMar>
      </w:tblPr>
      <w:tblGrid>
        <w:gridCol w:w="599"/>
        <w:gridCol w:w="500"/>
        <w:gridCol w:w="504"/>
        <w:gridCol w:w="237"/>
        <w:gridCol w:w="163"/>
        <w:gridCol w:w="408"/>
        <w:gridCol w:w="122"/>
        <w:gridCol w:w="122"/>
        <w:gridCol w:w="122"/>
        <w:gridCol w:w="237"/>
        <w:gridCol w:w="163"/>
        <w:gridCol w:w="408"/>
        <w:gridCol w:w="109"/>
        <w:gridCol w:w="109"/>
        <w:gridCol w:w="109"/>
        <w:gridCol w:w="569"/>
        <w:gridCol w:w="569"/>
        <w:gridCol w:w="571"/>
        <w:gridCol w:w="109"/>
        <w:gridCol w:w="109"/>
        <w:gridCol w:w="109"/>
        <w:gridCol w:w="227"/>
        <w:gridCol w:w="193"/>
        <w:gridCol w:w="483"/>
        <w:gridCol w:w="117"/>
        <w:gridCol w:w="117"/>
        <w:gridCol w:w="117"/>
        <w:gridCol w:w="232"/>
        <w:gridCol w:w="196"/>
        <w:gridCol w:w="483"/>
        <w:gridCol w:w="109"/>
        <w:gridCol w:w="109"/>
        <w:gridCol w:w="109"/>
        <w:gridCol w:w="514"/>
        <w:gridCol w:w="514"/>
        <w:gridCol w:w="737"/>
      </w:tblGrid>
      <w:tr>
        <w:trPr/>
        <w:tc>
          <w:tcPr>
            <w:tcW w:w="599"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r>
      <w:tr>
        <w:trPr/>
        <w:tc>
          <w:tcPr>
            <w:tcW w:w="1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2" w:type="dxa"/>
            <w:gridSpan w:val="9"/>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September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vMerge w:val="restart"/>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Increase / (Decrease)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5" w:type="dxa"/>
            <w:gridSpan w:val="9"/>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w:t>
              <w:br/>
              <w:t>September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5" w:type="dxa"/>
            <w:gridSpan w:val="3"/>
            <w:vMerge w:val="restart"/>
            <w:tcBorders>
              <w:top w:val="single" w:sz="8" w:space="0" w:color="FFFFF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Increase / (Decrease)</w:t>
            </w:r>
          </w:p>
        </w:tc>
      </w:tr>
      <w:tr>
        <w:trPr/>
        <w:tc>
          <w:tcPr>
            <w:tcW w:w="1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2" w:type="dxa"/>
            <w:gridSpan w:val="9"/>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vMerge w:val="continue"/>
            <w:tcBorders>
              <w:top w:val="single" w:sz="8" w:space="0" w:color="FFFFFF"/>
            </w:tcBorders>
            <w:tcMar>
              <w:top w:w="3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5" w:type="dxa"/>
            <w:gridSpan w:val="9"/>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5" w:type="dxa"/>
            <w:gridSpan w:val="3"/>
            <w:vMerge w:val="continue"/>
            <w:tcBorders>
              <w:top w:val="single" w:sz="8" w:space="0" w:color="FFFFFF"/>
            </w:tcBorders>
            <w:shd w:fill="FFFFFF" w:val="clear"/>
            <w:tcMar>
              <w:top w:w="30" w:type="dxa"/>
              <w:left w:w="0" w:type="dxa"/>
              <w:bottom w:w="0" w:type="dxa"/>
              <w:right w:w="0" w:type="dxa"/>
            </w:tcMar>
            <w:vAlign w:val="center"/>
          </w:tcPr>
          <w:p>
            <w:pPr>
              <w:pStyle w:val="Normal"/>
              <w:bidi w:val="0"/>
              <w:jc w:val="left"/>
              <w:rPr/>
            </w:pPr>
            <w:r>
              <w:rPr/>
            </w:r>
          </w:p>
        </w:tc>
      </w:tr>
      <w:tr>
        <w:trPr/>
        <w:tc>
          <w:tcPr>
            <w:tcW w:w="1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vMerge w:val="continue"/>
            <w:tcBorders>
              <w:top w:val="single" w:sz="8" w:space="0" w:color="FFFFFF"/>
            </w:tcBorders>
            <w:tcMar>
              <w:top w:w="3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5" w:type="dxa"/>
            <w:gridSpan w:val="3"/>
            <w:vMerge w:val="continue"/>
            <w:tcBorders>
              <w:top w:val="single" w:sz="8" w:space="0" w:color="FFFFFF"/>
            </w:tcBorders>
            <w:shd w:fill="FFFFFF" w:val="clear"/>
            <w:tcMar>
              <w:top w:w="30" w:type="dxa"/>
              <w:left w:w="0" w:type="dxa"/>
              <w:bottom w:w="0" w:type="dxa"/>
              <w:right w:w="0" w:type="dxa"/>
            </w:tcMar>
            <w:vAlign w:val="center"/>
          </w:tcPr>
          <w:p>
            <w:pPr>
              <w:pStyle w:val="Normal"/>
              <w:bidi w:val="0"/>
              <w:jc w:val="left"/>
              <w:rPr/>
            </w:pPr>
            <w:r>
              <w:rPr/>
            </w:r>
          </w:p>
        </w:tc>
      </w:tr>
      <w:tr>
        <w:trPr/>
        <w:tc>
          <w:tcPr>
            <w:tcW w:w="16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Income tax expense</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4,092</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10,906</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(60)%</w:t>
            </w:r>
          </w:p>
        </w:tc>
      </w:tr>
      <w:tr>
        <w:trPr/>
        <w:tc>
          <w:tcPr>
            <w:tcW w:w="16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 xml:space="preserve">Effective tax rate </w:t>
            </w:r>
          </w:p>
        </w:tc>
        <w:tc>
          <w:tcPr>
            <w:tcW w:w="4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4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4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effective tax rates were 43% and 67% for the three and nine months ended September 30, 2025, respectively. The effective tax rates were (3)% and (30)% for the three and nine months ended September 30, 2024, respectively. Income tax expense represents the estimated annual effective tax rate applied to the year-to-date operating results adjusted for certain discrete tax items. </w:t>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effective tax rate for the three and nine months ended September 30, 2025 is primarily impacted by costs related to non-deductible stock-based compensation, non-deductible executive compensation and a non-U.S. valuation allowance, partially offset by tax credits. The effective tax rate for the three and nine months ended September 30, 2024 was primarily impacted by non-deductible goodwill impairment charges. The effective tax rate for the nine months ended September 30, 2024 was additionally impacted by costs related to non-deductible stock-based compensation, mainly related to expired stock options.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Since our inception in 2006, we have devoted most of our cash resources to manufacturing, R&amp;D and selling, general and administrative activities related to the development and commercialization of EXPAREL. In addition, we acquired ZILRETTA as part of the Flexion Acquisition in November 2021 and iovera° as part of the MyoScience Acquisition in April 2019. We are primarily dependent on the commercial success of EXPAREL and ZILRETTA. We have financed our operations primarily with the proceeds from the sale of convertible senior notes and other debt, common stock, product sales and collaborative licensing and milestone revenue. As of September 30, 2025, we had an accumulated deficit of $201.0 million, cash and cash equivalents and available-for-sale investments of $246.3 million and working capital of $455.7 million.</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expect that our cash and cash equivalents and available-for-sale investments on hand will be adequate to cover our short-term liquidity needs, and that we would be able to access other sources of financing should the need arise.</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Summary of Cash Flows</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our cash flows from operating, investing and financing activities for the periods indicated (in thousands): </w:t>
      </w:r>
    </w:p>
    <w:tbl>
      <w:tblPr>
        <w:tblW w:w="8150" w:type="dxa"/>
        <w:jc w:val="left"/>
        <w:tblInd w:w="0" w:type="dxa"/>
        <w:tblLayout w:type="fixed"/>
        <w:tblCellMar>
          <w:top w:w="28" w:type="dxa"/>
          <w:left w:w="28" w:type="dxa"/>
          <w:bottom w:w="28" w:type="dxa"/>
          <w:right w:w="28" w:type="dxa"/>
        </w:tblCellMar>
      </w:tblPr>
      <w:tblGrid>
        <w:gridCol w:w="1841"/>
        <w:gridCol w:w="1617"/>
        <w:gridCol w:w="1626"/>
        <w:gridCol w:w="109"/>
        <w:gridCol w:w="109"/>
        <w:gridCol w:w="109"/>
        <w:gridCol w:w="211"/>
        <w:gridCol w:w="901"/>
        <w:gridCol w:w="109"/>
        <w:gridCol w:w="109"/>
        <w:gridCol w:w="109"/>
        <w:gridCol w:w="109"/>
        <w:gridCol w:w="211"/>
        <w:gridCol w:w="826"/>
        <w:gridCol w:w="154"/>
      </w:tblGrid>
      <w:tr>
        <w:trPr/>
        <w:tc>
          <w:tcPr>
            <w:tcW w:w="1841" w:type="dxa"/>
            <w:tcBorders/>
            <w:vAlign w:val="center"/>
          </w:tcPr>
          <w:p>
            <w:pPr>
              <w:pStyle w:val="TableContents"/>
              <w:bidi w:val="0"/>
              <w:spacing w:before="0" w:after="283"/>
              <w:jc w:val="left"/>
              <w:rPr>
                <w:sz w:val="4"/>
                <w:szCs w:val="4"/>
              </w:rPr>
            </w:pPr>
            <w:r>
              <w:rPr>
                <w:sz w:val="4"/>
                <w:szCs w:val="4"/>
              </w:rPr>
            </w:r>
          </w:p>
        </w:tc>
        <w:tc>
          <w:tcPr>
            <w:tcW w:w="1617" w:type="dxa"/>
            <w:tcBorders/>
            <w:vAlign w:val="center"/>
          </w:tcPr>
          <w:p>
            <w:pPr>
              <w:pStyle w:val="TableContents"/>
              <w:bidi w:val="0"/>
              <w:spacing w:before="0" w:after="283"/>
              <w:jc w:val="left"/>
              <w:rPr>
                <w:sz w:val="4"/>
                <w:szCs w:val="4"/>
              </w:rPr>
            </w:pPr>
            <w:r>
              <w:rPr>
                <w:sz w:val="4"/>
                <w:szCs w:val="4"/>
              </w:rPr>
            </w:r>
          </w:p>
        </w:tc>
        <w:tc>
          <w:tcPr>
            <w:tcW w:w="16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w:t>
              <w:br/>
              <w:t>September 30,</w:t>
            </w:r>
          </w:p>
        </w:tc>
      </w:tr>
      <w:tr>
        <w:trPr/>
        <w:tc>
          <w:tcPr>
            <w:tcW w:w="5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Condensed Consolidated Statements of Cash Flows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50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Net cash provided by (used 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108,305 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156,257 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80,148 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(82,908)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(317,975)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(decrease) increase in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(129,185)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92,667 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260"/>
                <wp:effectExtent l="0" t="0" r="0" b="0"/>
                <wp:wrapNone/>
                <wp:docPr id="55" name="Frame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Q3 </w:t>
                            </w:r>
                            <w:r>
                              <w:rPr>
                                <w:rFonts w:ascii="Times New Roman;serif" w:hAnsi="Times New Roman;serif"/>
                                <w:b w:val="false"/>
                                <w:color w:val="000000"/>
                                <w:sz w:val="20"/>
                              </w:rPr>
                              <w:t>2025</w:t>
                            </w:r>
                            <w:r>
                              <w:rPr>
                                <w:color w:val="000000"/>
                              </w:rPr>
                              <w:t xml:space="preserve"> </w:t>
                            </w:r>
                            <w:r>
                              <w:rPr>
                                <w:rFonts w:ascii="Times New Roman;serif" w:hAnsi="Times New Roman;serif"/>
                                <w:b w:val="false"/>
                                <w:color w:val="000000"/>
                                <w:sz w:val="19"/>
                              </w:rPr>
                              <w:t>Form 10-Q | 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Q3 </w:t>
                      </w:r>
                      <w:r>
                        <w:rPr>
                          <w:rFonts w:ascii="Times New Roman;serif" w:hAnsi="Times New Roman;serif"/>
                          <w:b w:val="false"/>
                          <w:color w:val="000000"/>
                          <w:sz w:val="20"/>
                        </w:rPr>
                        <w:t>2025</w:t>
                      </w:r>
                      <w:r>
                        <w:rPr>
                          <w:color w:val="000000"/>
                        </w:rPr>
                        <w:t xml:space="preserve"> </w:t>
                      </w:r>
                      <w:r>
                        <w:rPr>
                          <w:rFonts w:ascii="Times New Roman;serif" w:hAnsi="Times New Roman;serif"/>
                          <w:b w:val="false"/>
                          <w:color w:val="000000"/>
                          <w:sz w:val="19"/>
                        </w:rPr>
                        <w:t>Form 10-Q | 52</w:t>
                      </w:r>
                    </w:p>
                  </w:txbxContent>
                </v:textbox>
                <w10:wrap type="none"/>
              </v:rect>
            </w:pict>
          </mc:Fallback>
        </mc:AlternateContent>
      </w:r>
    </w:p>
    <w:p>
      <w:pPr>
        <w:pStyle w:val="TextBody"/>
        <w:bidi w:val="0"/>
        <w:spacing w:lineRule="auto" w:line="288" w:before="0" w:after="0"/>
        <w:jc w:val="left"/>
        <w:rPr/>
      </w:pPr>
      <w:hyperlink w:anchor="i004be9cfd92c48c78448e0b03d16957e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Operating Activities</w:t>
      </w:r>
    </w:p>
    <w:p>
      <w:pPr>
        <w:pStyle w:val="TextBody"/>
        <w:bidi w:val="0"/>
        <w:spacing w:lineRule="auto" w:line="288" w:before="180" w:after="283"/>
        <w:ind w:left="0" w:right="0" w:firstLine="450"/>
        <w:jc w:val="left"/>
        <w:rPr/>
      </w:pPr>
      <w:r>
        <w:rPr>
          <w:rFonts w:ascii="Times New Roman;serif" w:hAnsi="Times New Roman;serif"/>
          <w:b w:val="false"/>
          <w:color w:val="000000"/>
          <w:sz w:val="20"/>
        </w:rPr>
        <w:t xml:space="preserve">During the nine months ended September 30, 2025, net cash provided by operating activities was $108.3 million, compared to $156.3 million during the nine months ended September 30, 2024. The decrease of $48.0 million was attributable to increased operating expenses driven by investing in programs to drive awareness and education for our customers and enhance our marketing, market access and reimbursement teams as well as increased clinical and preclinical expenses as we continue to invest in our pipeline development and a higher investment in inventory, partially offset by the Company receiving $28.3 million related to a legal judgment by the U.S. District Court for the District of Nevada in the RDF legal proceeding and improvements in gross margin. See Note 16, </w:t>
      </w:r>
      <w:r>
        <w:rPr>
          <w:rFonts w:ascii="Times New Roman;serif" w:hAnsi="Times New Roman;serif"/>
          <w:b w:val="false"/>
          <w:i/>
          <w:color w:val="000000"/>
          <w:sz w:val="20"/>
        </w:rPr>
        <w:t>Commitments and Contingencies</w:t>
      </w:r>
      <w:r>
        <w:rPr>
          <w:rFonts w:ascii="Times New Roman;serif" w:hAnsi="Times New Roman;serif"/>
          <w:b w:val="false"/>
          <w:color w:val="000000"/>
          <w:sz w:val="20"/>
        </w:rPr>
        <w:t>, to our condensed consolidated financial statements included herein for further discussion.</w:t>
      </w:r>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Investing Activities</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During the nine months ended September 30, 2025, net cash provided by investing activities was $80.1 million, which reflected $113.2 million of inflows from available-for-sale investment sales (net of purchases), partially offset by $16.7 million related to the cash consideration for the GQ Bio Acquisition (net of cash acquired), as well as $15.1 million of capital expenditures for manufacturing product fill lines and the build-out of our new corporate headquarters in Brisbane, California.</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During the nine months ended September 30, 2024, net cash used in investing activities was $82.9 million, which reflected $74.4 million of outflows from available-for-sale investment purchases (net of sales), as well as $8.5 million of capital expenditures for manufacturing product fill lines and for an EXPAREL capacity expansion project at our Science Center Campus in San Diego, California.</w:t>
      </w:r>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Financing Activities</w:t>
      </w:r>
    </w:p>
    <w:p>
      <w:pPr>
        <w:pStyle w:val="TextBody"/>
        <w:bidi w:val="0"/>
        <w:spacing w:lineRule="auto" w:line="288" w:before="180" w:after="283"/>
        <w:ind w:left="0" w:right="0" w:firstLine="450"/>
        <w:jc w:val="left"/>
        <w:rPr/>
      </w:pPr>
      <w:r>
        <w:rPr>
          <w:rFonts w:ascii="Times New Roman;serif" w:hAnsi="Times New Roman;serif"/>
          <w:b w:val="false"/>
          <w:color w:val="000000"/>
          <w:sz w:val="20"/>
        </w:rPr>
        <w:t>During the nine months ended September 30, 2025, net cash used in financing activities was $318.0 million, which primarily consisted of the $202.5 million repayment of the 2025 Notes; a $105.3 million repayment and extinguishment of the TLA Term Loan using $96.0 million in proceeds (net of repayments) of the Revolving Credit Facility to repay the remaining indebtedness outstanding; $100.1 million in purchases of treasury stock under a new $300.0 million share repurchase program authorized by our board of directors in April 2025; as well as $5.5 million to withhold shares of common stock to cover employee tax withholding obligations on restricted stock unit vests. There were also $1.6 million of proceeds from the issuance of common stock through our ESPP. For more information on our share repurchase program, see</w:t>
      </w:r>
      <w:r>
        <w:rPr>
          <w:color w:val="000000"/>
        </w:rPr>
        <w:t xml:space="preserve"> </w:t>
      </w:r>
      <w:r>
        <w:rPr>
          <w:rFonts w:ascii="Times New Roman;serif" w:hAnsi="Times New Roman;serif"/>
          <w:b w:val="false"/>
          <w:color w:val="000000"/>
          <w:sz w:val="20"/>
        </w:rPr>
        <w:t xml:space="preserve">Note 11, </w:t>
      </w:r>
      <w:r>
        <w:rPr>
          <w:rFonts w:ascii="Times New Roman;serif" w:hAnsi="Times New Roman;serif"/>
          <w:b w:val="false"/>
          <w:i/>
          <w:color w:val="000000"/>
          <w:sz w:val="20"/>
        </w:rPr>
        <w:t>Stockholders' Equity</w:t>
      </w:r>
      <w:r>
        <w:rPr>
          <w:rFonts w:ascii="Times New Roman;serif" w:hAnsi="Times New Roman;serif"/>
          <w:b w:val="false"/>
          <w:color w:val="000000"/>
          <w:sz w:val="20"/>
        </w:rPr>
        <w:t xml:space="preserve">, to our condensed consolidated financial statements included herein and Part II Item 2. </w:t>
      </w:r>
      <w:r>
        <w:rPr>
          <w:rFonts w:ascii="Times New Roman;serif" w:hAnsi="Times New Roman;serif"/>
          <w:b w:val="false"/>
          <w:i/>
          <w:color w:val="000000"/>
          <w:sz w:val="20"/>
        </w:rPr>
        <w:t>Unregistered Sales of Equity Securities and Use of Proceeds</w:t>
      </w:r>
      <w:r>
        <w:rPr>
          <w:color w:val="000000"/>
        </w:rPr>
        <w:t xml:space="preserve"> </w:t>
      </w:r>
      <w:r>
        <w:rPr>
          <w:rFonts w:ascii="Times New Roman;serif" w:hAnsi="Times New Roman;serif"/>
          <w:b w:val="false"/>
          <w:color w:val="000000"/>
          <w:sz w:val="20"/>
        </w:rPr>
        <w:t>of this Quarterly Report on Form 10-Q.</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During the nine months ended September 30, 2024, net cash provided by financing activities was $19.3 million, which primarily consisted of $287.5 million in proceeds from the issuance of the 2029 Notes. We used the majority of the proceeds from the 2029 Notes to make a partial repurchase of the 2025 Notes in the amount of $191.0 million, enter into a capped call transaction for $26.7 million, repurchase $25.0 million of treasury stock, and pay debt issuance and financing costs of $9.4 million. Additionally, we paid the remaining $8.6 million of 3.375% convertible senior notes due 2024 assumed from the Flexion Acquisition upon their maturity and made $8.4 million voluntary prepayments associated with the TLA Term Loan. There was also $1.4 million of proceeds from the issuance of common stock through our ESPP.</w:t>
      </w:r>
    </w:p>
    <w:p>
      <w:pPr>
        <w:pStyle w:val="TextBody"/>
        <w:bidi w:val="0"/>
        <w:spacing w:lineRule="auto" w:line="288" w:before="180" w:after="283"/>
        <w:ind w:left="0" w:right="0" w:firstLine="450"/>
        <w:jc w:val="left"/>
        <w:rPr/>
      </w:pPr>
      <w:r>
        <w:rPr>
          <w:rFonts w:ascii="Times New Roman;serif" w:hAnsi="Times New Roman;serif"/>
          <w:b w:val="false"/>
          <w:color w:val="000000"/>
          <w:sz w:val="20"/>
        </w:rPr>
        <w:t xml:space="preserve">See Note 9, </w:t>
      </w:r>
      <w:r>
        <w:rPr>
          <w:rFonts w:ascii="Times New Roman;serif" w:hAnsi="Times New Roman;serif"/>
          <w:b w:val="false"/>
          <w:i/>
          <w:color w:val="000000"/>
          <w:sz w:val="20"/>
        </w:rPr>
        <w:t>Debt</w:t>
      </w:r>
      <w:r>
        <w:rPr>
          <w:rFonts w:ascii="Times New Roman;serif" w:hAnsi="Times New Roman;serif"/>
          <w:b w:val="false"/>
          <w:color w:val="000000"/>
          <w:sz w:val="20"/>
        </w:rPr>
        <w:t>, to our condensed consolidated financial statements included herein for further discussion of the 2025 Notes, Revolving Line of Credit and the repayment and extinguishment of the TLA Term Loan.</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Debt</w:t>
      </w:r>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Revolving Credit Facility</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On July 3, 2025, we entered into a credit agreement (the “Credit Agreement”) with Wells Fargo Bank, National Association, as administrative agent, swingline lender and an issuing bank, and certain lenders, to, among other things, refinance the indebtedness outstanding under our TLA Credit Agreement (as defined below) and provide ongoing working capital. The Credit Agreement provides for a senior secured revolving credit facility (the “Revolving Credit Facility”) in an aggregate commitment amount of $300.0 million, with a letter of credit sublimit of $10.0 million and swingline loan sublimit of $15.0 million. The credit facility is secured by substantially all of our and each subsidiary guarantor’s assets and matures on July 3, 2030, subject to certain exceptions set forth in the Credit Agreement. Subject to certain conditions, we may, at any time, on one or more occasions, add one or more new classes of term facilities and/or increase the principal amount of any existing class of term loans by requesting one or more incremental term facilities in an aggregate principal amount not to exceed the greater of $225.0 million and 100% of Consolidated EBITDA (as defined in the Credit Agreement).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56" name="Frame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Q3 </w:t>
                            </w:r>
                            <w:r>
                              <w:rPr>
                                <w:rFonts w:ascii="Times New Roman;serif" w:hAnsi="Times New Roman;serif"/>
                                <w:b w:val="false"/>
                                <w:color w:val="000000"/>
                                <w:sz w:val="20"/>
                              </w:rPr>
                              <w:t>2025</w:t>
                            </w:r>
                            <w:r>
                              <w:rPr>
                                <w:color w:val="000000"/>
                              </w:rPr>
                              <w:t xml:space="preserve"> </w:t>
                            </w:r>
                            <w:r>
                              <w:rPr>
                                <w:rFonts w:ascii="Times New Roman;serif" w:hAnsi="Times New Roman;serif"/>
                                <w:b w:val="false"/>
                                <w:color w:val="000000"/>
                                <w:sz w:val="19"/>
                              </w:rPr>
                              <w:t>Form 10-Q | 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Q3 </w:t>
                      </w:r>
                      <w:r>
                        <w:rPr>
                          <w:rFonts w:ascii="Times New Roman;serif" w:hAnsi="Times New Roman;serif"/>
                          <w:b w:val="false"/>
                          <w:color w:val="000000"/>
                          <w:sz w:val="20"/>
                        </w:rPr>
                        <w:t>2025</w:t>
                      </w:r>
                      <w:r>
                        <w:rPr>
                          <w:color w:val="000000"/>
                        </w:rPr>
                        <w:t xml:space="preserve"> </w:t>
                      </w:r>
                      <w:r>
                        <w:rPr>
                          <w:rFonts w:ascii="Times New Roman;serif" w:hAnsi="Times New Roman;serif"/>
                          <w:b w:val="false"/>
                          <w:color w:val="000000"/>
                          <w:sz w:val="19"/>
                        </w:rPr>
                        <w:t>Form 10-Q | 53</w:t>
                      </w:r>
                    </w:p>
                  </w:txbxContent>
                </v:textbox>
                <w10:wrap type="none"/>
              </v:rect>
            </w:pict>
          </mc:Fallback>
        </mc:AlternateContent>
      </w:r>
    </w:p>
    <w:p>
      <w:pPr>
        <w:pStyle w:val="TextBody"/>
        <w:bidi w:val="0"/>
        <w:spacing w:lineRule="auto" w:line="288" w:before="0" w:after="0"/>
        <w:jc w:val="left"/>
        <w:rPr/>
      </w:pPr>
      <w:hyperlink w:anchor="i004be9cfd92c48c78448e0b03d16957e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Each revolving loan borrowing which is an alternate base rate borrowing will bear interest at a rate per annum equal to (i) a base rate, plus (ii) a spread based on our Senior Secured Net Leverage Ratio (as defined in the Credit Agreement) ranging from 1.50% to 2.25%. Each revolving loan borrowing which is a term benchmark borrowing or daily simple SOFR (as defined in the Credit Agreement) borrowing will bear interest at a rate per annum equal to (i) a forward-looking term rate based on SOFR or a rate determined by reference to the daily simple SOFR, plus (ii) a spread based on our Senior Secured Net Leverage Ratio ranging from 2.50% to 3.25%.</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Credit Agreement also contains customary affirmative and negative covenants, financial covenants, representations and warranties, events of default and other provisions. As of September 30, 2025, we were in compliance with all covenants under the Credit Agreement. </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Upon entering into the Credit Agreement, we borrowed $101.0 million under the Revolving Credit Facility, of which $96.0 million is outstanding as of September 30, 2025 after we made repayments of $5.0 million during the nine months ended September 30, 2025. </w:t>
      </w:r>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2028 Term Loan A Facility</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On March 31, 2023, we entered into a credit agreement (as amended to date, the “TLA Credit Agreement”). The term loan issued under the TLA Credit Agreement (the “TLA Term Loan”) was issued at a 0.30% discount and provides for a single-advance term loan A facility in the principal amount of $150.0 million, which was secured by substantially all of our and any subsidiary guarantor’s assets.</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TLA Term Loan was scheduled to mature on March 31, 2028 and the TLA Credit Agreement required quarterly repayments of principal in the amount of $2.8 million which commenced on June 30, 2023 and increased to $3.8 million on March 31, 2025, with an originally stated balloon payment of approximately $85.3 million due at maturity.</w:t>
      </w:r>
    </w:p>
    <w:p>
      <w:pPr>
        <w:pStyle w:val="TextBody"/>
        <w:bidi w:val="0"/>
        <w:spacing w:lineRule="auto" w:line="288" w:before="180" w:after="283"/>
        <w:ind w:left="0" w:right="0" w:firstLine="450"/>
        <w:jc w:val="left"/>
        <w:rPr/>
      </w:pPr>
      <w:r>
        <w:rPr>
          <w:rFonts w:ascii="Times New Roman;serif" w:hAnsi="Times New Roman;serif"/>
          <w:b w:val="false"/>
          <w:color w:val="000000"/>
          <w:sz w:val="20"/>
        </w:rPr>
        <w:t xml:space="preserve">On July 3, 2025, we used a portion of the $300.0 million of Revolving Credit Facility to repay the remaining indebtedness outstanding under the TLA Credit Agreement, which consisted of $98.8 million and its final interest payment of $0.1 million, and terminated the TLA Credit Agreement. We did not incur any prepayment penalties or fees in connection with the termination of the TLA Credit Agreement. The prepayment resulted in a loss on early extinguishment of debt of approximately $1.0 million which was recognized during the three months ended September 30, 2025. Prior to the TLA Credit Agreement extinguishment, we made voluntary principal prepayments of $6.6 million during the nine months ended September 30, 2025 and $11.3 million during the year ended December 31, 2024. For more information, see Note 9, </w:t>
      </w:r>
      <w:r>
        <w:rPr>
          <w:rFonts w:ascii="Times New Roman;serif" w:hAnsi="Times New Roman;serif"/>
          <w:b w:val="false"/>
          <w:i/>
          <w:color w:val="000000"/>
          <w:sz w:val="20"/>
        </w:rPr>
        <w:t>Debt</w:t>
      </w:r>
      <w:r>
        <w:rPr>
          <w:rFonts w:ascii="Times New Roman;serif" w:hAnsi="Times New Roman;serif"/>
          <w:b w:val="false"/>
          <w:color w:val="000000"/>
          <w:sz w:val="20"/>
        </w:rPr>
        <w:t>, to our condensed consolidated financial statements included herein for further discussion.</w:t>
      </w:r>
    </w:p>
    <w:p>
      <w:pPr>
        <w:pStyle w:val="TextBody"/>
        <w:bidi w:val="0"/>
        <w:spacing w:lineRule="auto" w:line="288" w:before="180" w:after="160"/>
        <w:jc w:val="left"/>
        <w:rPr>
          <w:rFonts w:ascii="Times New Roman;serif" w:hAnsi="Times New Roman;serif"/>
          <w:b w:val="false"/>
          <w:i/>
          <w:color w:val="000000"/>
          <w:sz w:val="20"/>
        </w:rPr>
      </w:pPr>
      <w:r>
        <w:rPr>
          <w:rFonts w:ascii="Times New Roman;serif" w:hAnsi="Times New Roman;serif"/>
          <w:b w:val="false"/>
          <w:i/>
          <w:color w:val="000000"/>
          <w:sz w:val="20"/>
        </w:rPr>
        <w:t>2029 Convertible Senior Notes</w:t>
      </w:r>
    </w:p>
    <w:p>
      <w:pPr>
        <w:pStyle w:val="TextBody"/>
        <w:bidi w:val="0"/>
        <w:spacing w:lineRule="auto" w:line="288" w:before="180" w:after="283"/>
        <w:ind w:left="0" w:right="0" w:firstLine="450"/>
        <w:jc w:val="left"/>
        <w:rPr/>
      </w:pPr>
      <w:r>
        <w:rPr>
          <w:rFonts w:ascii="Times New Roman;serif" w:hAnsi="Times New Roman;serif"/>
          <w:b w:val="false"/>
          <w:color w:val="000000"/>
          <w:sz w:val="20"/>
        </w:rPr>
        <w:t>In May 2024, we completed a private placement of $287.5 million in aggregate principal amount of our 2.125% convertible senior notes due 2029, or 2029 Notes, and entered into an indenture with respect to the 2029 Notes. The 2029 Notes accrue interest at a fixed rate of 2.125% per year, payable semiannually in arrears on May 15</w:t>
      </w:r>
      <w:r>
        <w:rPr>
          <w:rFonts w:ascii="Times New Roman;serif" w:hAnsi="Times New Roman;serif"/>
          <w:b w:val="false"/>
          <w:color w:val="000000"/>
          <w:sz w:val="13"/>
        </w:rPr>
        <w:t>th</w:t>
      </w:r>
      <w:r>
        <w:rPr>
          <w:color w:val="000000"/>
        </w:rPr>
        <w:t xml:space="preserve"> </w:t>
      </w:r>
      <w:r>
        <w:rPr>
          <w:rFonts w:ascii="Times New Roman;serif" w:hAnsi="Times New Roman;serif"/>
          <w:b w:val="false"/>
          <w:color w:val="000000"/>
          <w:sz w:val="20"/>
        </w:rPr>
        <w:t>and November 15</w:t>
      </w:r>
      <w:r>
        <w:rPr>
          <w:rFonts w:ascii="Times New Roman;serif" w:hAnsi="Times New Roman;serif"/>
          <w:b w:val="false"/>
          <w:color w:val="000000"/>
          <w:sz w:val="13"/>
        </w:rPr>
        <w:t>th</w:t>
      </w:r>
      <w:r>
        <w:rPr>
          <w:color w:val="000000"/>
        </w:rPr>
        <w:t xml:space="preserve"> </w:t>
      </w:r>
      <w:r>
        <w:rPr>
          <w:rFonts w:ascii="Times New Roman;serif" w:hAnsi="Times New Roman;serif"/>
          <w:b w:val="false"/>
          <w:color w:val="000000"/>
          <w:sz w:val="20"/>
        </w:rPr>
        <w:t xml:space="preserve">of each year. The 2029 Notes mature on May 15, 2029. </w:t>
      </w:r>
    </w:p>
    <w:p>
      <w:pPr>
        <w:pStyle w:val="TextBody"/>
        <w:bidi w:val="0"/>
        <w:spacing w:lineRule="auto" w:line="288" w:before="180" w:after="283"/>
        <w:ind w:left="0" w:right="0" w:firstLine="450"/>
        <w:jc w:val="left"/>
        <w:rPr/>
      </w:pPr>
      <w:r>
        <w:rPr>
          <w:rFonts w:ascii="Times New Roman;serif" w:hAnsi="Times New Roman;serif"/>
          <w:b w:val="false"/>
          <w:color w:val="000000"/>
          <w:sz w:val="20"/>
        </w:rPr>
        <w:t xml:space="preserve">At September 30, 2025, all $287.5 million of principal was outstanding on the 2029 Notes. See Note 9, </w:t>
      </w:r>
      <w:r>
        <w:rPr>
          <w:rFonts w:ascii="Times New Roman;serif" w:hAnsi="Times New Roman;serif"/>
          <w:b w:val="false"/>
          <w:i/>
          <w:color w:val="000000"/>
          <w:sz w:val="20"/>
        </w:rPr>
        <w:t>Debt</w:t>
      </w:r>
      <w:r>
        <w:rPr>
          <w:rFonts w:ascii="Times New Roman;serif" w:hAnsi="Times New Roman;serif"/>
          <w:b w:val="false"/>
          <w:color w:val="000000"/>
          <w:sz w:val="20"/>
        </w:rPr>
        <w:t>, to our condensed consolidated financial statements included herein for further discussion.</w:t>
      </w:r>
    </w:p>
    <w:p>
      <w:pPr>
        <w:pStyle w:val="TextBody"/>
        <w:bidi w:val="0"/>
        <w:spacing w:lineRule="auto" w:line="288" w:before="180" w:after="160"/>
        <w:jc w:val="left"/>
        <w:rPr>
          <w:rFonts w:ascii="Times New Roman;serif" w:hAnsi="Times New Roman;serif"/>
          <w:b w:val="false"/>
          <w:i/>
          <w:color w:val="000000"/>
          <w:sz w:val="20"/>
        </w:rPr>
      </w:pPr>
      <w:r>
        <w:rPr>
          <w:rFonts w:ascii="Times New Roman;serif" w:hAnsi="Times New Roman;serif"/>
          <w:b w:val="false"/>
          <w:i/>
          <w:color w:val="000000"/>
          <w:sz w:val="20"/>
        </w:rPr>
        <w:t>2025 Convertible Senior Notes</w:t>
      </w:r>
    </w:p>
    <w:p>
      <w:pPr>
        <w:pStyle w:val="TextBody"/>
        <w:bidi w:val="0"/>
        <w:spacing w:lineRule="auto" w:line="288" w:before="180" w:after="283"/>
        <w:ind w:left="0" w:right="0" w:firstLine="450"/>
        <w:jc w:val="left"/>
        <w:rPr/>
      </w:pPr>
      <w:r>
        <w:rPr>
          <w:rFonts w:ascii="Times New Roman;serif" w:hAnsi="Times New Roman;serif"/>
          <w:b w:val="false"/>
          <w:color w:val="000000"/>
          <w:sz w:val="20"/>
        </w:rPr>
        <w:t>In July 2020, we completed a private placement of $402.5 million in aggregate principal amount of our 0.750% convertible senior notes due 2025, or 2025 Notes, and entered into an indenture with respect to the 2025 Notes. The 2025 Notes accrued interest at a fixed rate of 0.750% per annum, which was payable semiannually in arrears on February 1</w:t>
      </w:r>
      <w:r>
        <w:rPr>
          <w:rFonts w:ascii="Times New Roman;serif" w:hAnsi="Times New Roman;serif"/>
          <w:b w:val="false"/>
          <w:color w:val="000000"/>
          <w:sz w:val="13"/>
        </w:rPr>
        <w:t>st</w:t>
      </w:r>
      <w:r>
        <w:rPr>
          <w:color w:val="000000"/>
        </w:rPr>
        <w:t xml:space="preserve"> </w:t>
      </w:r>
      <w:r>
        <w:rPr>
          <w:rFonts w:ascii="Times New Roman;serif" w:hAnsi="Times New Roman;serif"/>
          <w:b w:val="false"/>
          <w:color w:val="000000"/>
          <w:sz w:val="20"/>
        </w:rPr>
        <w:t>and August 1</w:t>
      </w:r>
      <w:r>
        <w:rPr>
          <w:rFonts w:ascii="Times New Roman;serif" w:hAnsi="Times New Roman;serif"/>
          <w:b w:val="false"/>
          <w:color w:val="000000"/>
          <w:sz w:val="13"/>
        </w:rPr>
        <w:t>st</w:t>
      </w:r>
      <w:r>
        <w:rPr>
          <w:color w:val="000000"/>
        </w:rPr>
        <w:t xml:space="preserve"> </w:t>
      </w:r>
      <w:r>
        <w:rPr>
          <w:rFonts w:ascii="Times New Roman;serif" w:hAnsi="Times New Roman;serif"/>
          <w:b w:val="false"/>
          <w:color w:val="000000"/>
          <w:sz w:val="20"/>
        </w:rPr>
        <w:t>of each year.</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May 2024, we used part of the net proceeds from the issuance of the 2029 Notes to repurchase $200.0 million aggregate principal amount of the 2025 Notes in privately negotiated transactions at a discount for $191.4 million in cash (including accrued interest). The partial repurchase of the 2025 Notes resulted in a $7.5 million gain on early extinguishment of debt.</w:t>
      </w:r>
    </w:p>
    <w:p>
      <w:pPr>
        <w:pStyle w:val="TextBody"/>
        <w:bidi w:val="0"/>
        <w:spacing w:lineRule="auto" w:line="288" w:before="180" w:after="283"/>
        <w:ind w:left="0" w:right="0" w:firstLine="450"/>
        <w:jc w:val="left"/>
        <w:rPr/>
      </w:pPr>
      <w:r>
        <w:rPr>
          <w:rFonts w:ascii="Times New Roman;serif" w:hAnsi="Times New Roman;serif"/>
          <w:b w:val="false"/>
          <w:color w:val="000000"/>
          <w:sz w:val="20"/>
        </w:rPr>
        <w:t xml:space="preserve">On August 1, 2025, the 2025 Notes matured and we settled the remaining outstanding principal balance of $202.5 million in cash. Between February 3, 2025 and the close of business on the second scheduled trading day immediately preceding August 1, 2025, holders could have converted their 2025 Notes at any time. Upon the maturity of the 2025 Notes, a nominal gain on extinguishment of debt was recognized due to certain holders having converted their 2025 Notes. See Note 9, </w:t>
      </w:r>
      <w:r>
        <w:rPr>
          <w:rFonts w:ascii="Times New Roman;serif" w:hAnsi="Times New Roman;serif"/>
          <w:b w:val="false"/>
          <w:i/>
          <w:color w:val="000000"/>
          <w:sz w:val="20"/>
        </w:rPr>
        <w:t>Debt</w:t>
      </w:r>
      <w:r>
        <w:rPr>
          <w:rFonts w:ascii="Times New Roman;serif" w:hAnsi="Times New Roman;serif"/>
          <w:b w:val="false"/>
          <w:color w:val="000000"/>
          <w:sz w:val="20"/>
        </w:rPr>
        <w:t>, to our condensed consolidated financial statements included herein for further discussion.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5260"/>
                <wp:effectExtent l="0" t="0" r="0" b="0"/>
                <wp:wrapNone/>
                <wp:docPr id="57" name="Frame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Q3 </w:t>
                            </w:r>
                            <w:r>
                              <w:rPr>
                                <w:rFonts w:ascii="Times New Roman;serif" w:hAnsi="Times New Roman;serif"/>
                                <w:b w:val="false"/>
                                <w:color w:val="000000"/>
                                <w:sz w:val="20"/>
                              </w:rPr>
                              <w:t>2025</w:t>
                            </w:r>
                            <w:r>
                              <w:rPr>
                                <w:color w:val="000000"/>
                              </w:rPr>
                              <w:t xml:space="preserve"> </w:t>
                            </w:r>
                            <w:r>
                              <w:rPr>
                                <w:rFonts w:ascii="Times New Roman;serif" w:hAnsi="Times New Roman;serif"/>
                                <w:b w:val="false"/>
                                <w:color w:val="000000"/>
                                <w:sz w:val="19"/>
                              </w:rPr>
                              <w:t>Form 10-Q | 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Q3 </w:t>
                      </w:r>
                      <w:r>
                        <w:rPr>
                          <w:rFonts w:ascii="Times New Roman;serif" w:hAnsi="Times New Roman;serif"/>
                          <w:b w:val="false"/>
                          <w:color w:val="000000"/>
                          <w:sz w:val="20"/>
                        </w:rPr>
                        <w:t>2025</w:t>
                      </w:r>
                      <w:r>
                        <w:rPr>
                          <w:color w:val="000000"/>
                        </w:rPr>
                        <w:t xml:space="preserve"> </w:t>
                      </w:r>
                      <w:r>
                        <w:rPr>
                          <w:rFonts w:ascii="Times New Roman;serif" w:hAnsi="Times New Roman;serif"/>
                          <w:b w:val="false"/>
                          <w:color w:val="000000"/>
                          <w:sz w:val="19"/>
                        </w:rPr>
                        <w:t>Form 10-Q | 54</w:t>
                      </w:r>
                    </w:p>
                  </w:txbxContent>
                </v:textbox>
                <w10:wrap type="none"/>
              </v:rect>
            </w:pict>
          </mc:Fallback>
        </mc:AlternateContent>
      </w:r>
    </w:p>
    <w:p>
      <w:pPr>
        <w:pStyle w:val="TextBody"/>
        <w:bidi w:val="0"/>
        <w:spacing w:lineRule="auto" w:line="288" w:before="0" w:after="0"/>
        <w:jc w:val="left"/>
        <w:rPr/>
      </w:pPr>
      <w:hyperlink w:anchor="i004be9cfd92c48c78448e0b03d16957e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Future Capital Requirements</w:t>
      </w:r>
    </w:p>
    <w:p>
      <w:pPr>
        <w:pStyle w:val="TextBody"/>
        <w:bidi w:val="0"/>
        <w:spacing w:lineRule="auto" w:line="288" w:before="18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We believe that our existing cash and cash equivalents, available-for-sale investments and cash received from product sales will be sufficient to enable us to fund our operating expenses, capital expenditure requirements and payment of the interest and principal on our Revolving Credit Facility and 2029 Notes through the next 12 months. Our future use of operating cash and capital requirements will depend on many forward-looking factors, including, but not limited to:</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 xml:space="preserve">the cost and timing of the potential milestone payments to former Flexion Therapeutics, Inc. stockholders, which could be up to an aggregate of $372.3 million if certain regulatory and commercial milestones are met. See Note 10, </w:t>
      </w:r>
      <w:r>
        <w:rPr>
          <w:rFonts w:ascii="Times New Roman;serif" w:hAnsi="Times New Roman;serif"/>
          <w:b w:val="false"/>
          <w:i/>
          <w:color w:val="000000"/>
          <w:sz w:val="20"/>
        </w:rPr>
        <w:t>Financial Instruments</w:t>
      </w:r>
      <w:r>
        <w:rPr>
          <w:rFonts w:ascii="Times New Roman;serif" w:hAnsi="Times New Roman;serif"/>
          <w:b w:val="false"/>
          <w:color w:val="000000"/>
          <w:sz w:val="20"/>
        </w:rPr>
        <w:t>, to our condensed consolidated financial statements included herein for more information;</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the impact of global economic conditions—including the impact of inflation and tariffs—on our products, material and labor costs, supply chain, longer lead-times, an inability to procure a sufficient supply of materials, our operating expenses and our business strategy;</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the timing of and extent to which the holders of our 2029 Notes elect to convert their 2029 Notes, and the amount of borrowings and interest payments on our Revolving Credit Facility;</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the costs and our ability to successfully continue to expand the commercialization of EXPAREL, ZILRETTA and iovera°;</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the cost and timing of expanding and maintaining our manufacturing facilities and capabilities;</w:t>
      </w:r>
    </w:p>
    <w:p>
      <w:pPr>
        <w:pStyle w:val="TextBody"/>
        <w:bidi w:val="0"/>
        <w:spacing w:lineRule="auto" w:line="288" w:before="180" w:after="160"/>
        <w:ind w:left="0" w:right="0" w:hanging="360"/>
        <w:jc w:val="left"/>
        <w:rPr/>
      </w:pPr>
      <w:r>
        <w:rPr>
          <w:color w:val="000000"/>
        </w:rPr>
        <w:t>•</w:t>
      </w:r>
      <w:r>
        <w:rPr>
          <w:rFonts w:ascii="Times New Roman;serif" w:hAnsi="Times New Roman;serif"/>
          <w:b w:val="false"/>
          <w:color w:val="000000"/>
          <w:sz w:val="20"/>
        </w:rPr>
        <w:t>the cost and timing of additional strategic investments, including additional investments under existing agreements;</w:t>
      </w:r>
    </w:p>
    <w:p>
      <w:pPr>
        <w:pStyle w:val="TextBody"/>
        <w:bidi w:val="0"/>
        <w:spacing w:lineRule="auto" w:line="288" w:before="180" w:after="160"/>
        <w:ind w:left="0" w:right="0" w:hanging="360"/>
        <w:jc w:val="left"/>
        <w:rPr/>
      </w:pPr>
      <w:r>
        <w:rPr>
          <w:color w:val="000000"/>
        </w:rPr>
        <w:t>•</w:t>
      </w:r>
      <w:r>
        <w:rPr>
          <w:rFonts w:ascii="Times New Roman;serif" w:hAnsi="Times New Roman;serif"/>
          <w:b w:val="false"/>
          <w:color w:val="000000"/>
          <w:sz w:val="20"/>
        </w:rPr>
        <w:t>the costs related to legal and regulatory matters, including those to develop and defend our intellectual property;</w:t>
      </w:r>
    </w:p>
    <w:p>
      <w:pPr>
        <w:pStyle w:val="TextBody"/>
        <w:bidi w:val="0"/>
        <w:spacing w:lineRule="auto" w:line="288" w:before="180" w:after="160"/>
        <w:ind w:left="0" w:right="0" w:hanging="360"/>
        <w:jc w:val="left"/>
        <w:rPr/>
      </w:pPr>
      <w:r>
        <w:rPr>
          <w:color w:val="000000"/>
        </w:rPr>
        <w:t>•</w:t>
      </w:r>
      <w:r>
        <w:rPr>
          <w:rFonts w:ascii="Times New Roman;serif" w:hAnsi="Times New Roman;serif"/>
          <w:b w:val="false"/>
          <w:color w:val="000000"/>
          <w:sz w:val="20"/>
        </w:rPr>
        <w:t>the costs of performing additional clinical trials for our products and product candidates, including the additional pediatric trials required by the FDA and EMA as a condition of the approval of EXPAREL and clinical trials for PCRX-201;</w:t>
      </w:r>
    </w:p>
    <w:p>
      <w:pPr>
        <w:pStyle w:val="TextBody"/>
        <w:bidi w:val="0"/>
        <w:spacing w:lineRule="auto" w:line="288" w:before="180" w:after="160"/>
        <w:ind w:left="0" w:right="0" w:hanging="360"/>
        <w:jc w:val="left"/>
        <w:rPr/>
      </w:pPr>
      <w:r>
        <w:rPr>
          <w:color w:val="000000"/>
        </w:rPr>
        <w:t>•</w:t>
      </w:r>
      <w:r>
        <w:rPr>
          <w:rFonts w:ascii="Times New Roman;serif" w:hAnsi="Times New Roman;serif"/>
          <w:b w:val="false"/>
          <w:color w:val="000000"/>
          <w:sz w:val="20"/>
        </w:rPr>
        <w:t>the costs for the development and commercialization of other product candidates;</w:t>
      </w:r>
    </w:p>
    <w:p>
      <w:pPr>
        <w:pStyle w:val="TextBody"/>
        <w:bidi w:val="0"/>
        <w:spacing w:lineRule="auto" w:line="288" w:before="180" w:after="160"/>
        <w:ind w:left="0" w:right="0" w:hanging="360"/>
        <w:jc w:val="left"/>
        <w:rPr/>
      </w:pPr>
      <w:r>
        <w:rPr>
          <w:color w:val="000000"/>
        </w:rPr>
        <w:t>•</w:t>
      </w:r>
      <w:r>
        <w:rPr>
          <w:rFonts w:ascii="Times New Roman;serif" w:hAnsi="Times New Roman;serif"/>
          <w:b w:val="false"/>
          <w:color w:val="000000"/>
          <w:sz w:val="20"/>
        </w:rPr>
        <w:t>the costs and timing of future payments under our employee benefit plans, including but not limited to our cash long-term incentive plan and non-qualified deferred compensation plan;</w:t>
      </w:r>
    </w:p>
    <w:p>
      <w:pPr>
        <w:pStyle w:val="TextBody"/>
        <w:bidi w:val="0"/>
        <w:spacing w:lineRule="auto" w:line="288" w:before="180" w:after="160"/>
        <w:ind w:left="0" w:right="0" w:hanging="360"/>
        <w:jc w:val="left"/>
        <w:rPr/>
      </w:pPr>
      <w:r>
        <w:rPr>
          <w:color w:val="000000"/>
        </w:rPr>
        <w:t>•</w:t>
      </w:r>
      <w:r>
        <w:rPr>
          <w:rFonts w:ascii="Times New Roman;serif" w:hAnsi="Times New Roman;serif"/>
          <w:b w:val="false"/>
          <w:color w:val="000000"/>
          <w:sz w:val="20"/>
        </w:rPr>
        <w:t>the extent to which we acquire or invest in products, businesses and technologies;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timing and the number of shares of our common stock either repurchased through our $300.0 million share repurchase program announced in April 2025, which has an expiration date of December 31, 2026 or withheld to cover employee tax withholding obligations on restricted stock unit vests.</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may require additional debt or equity financing to meet our future operating and capital requirements. We have no committed external sources of funds, and additional equity or debt financing may not be available on acceptable terms, if at all. In particular, capital market disruptions or negative economic conditions may hinder our access to capital.</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 xml:space="preserve">Critical Accounting Estimates </w:t>
      </w:r>
    </w:p>
    <w:p>
      <w:pPr>
        <w:pStyle w:val="TextBody"/>
        <w:bidi w:val="0"/>
        <w:spacing w:lineRule="auto" w:line="288" w:before="180" w:after="283"/>
        <w:ind w:left="0" w:right="0" w:firstLine="450"/>
        <w:jc w:val="left"/>
        <w:rPr/>
      </w:pPr>
      <w:r>
        <w:rPr>
          <w:rFonts w:ascii="Times New Roman;serif" w:hAnsi="Times New Roman;serif"/>
          <w:b w:val="false"/>
          <w:color w:val="000000"/>
          <w:sz w:val="20"/>
        </w:rPr>
        <w:t xml:space="preserve">For a description of critical accounting policies that affect our significant judgments and estimates used in the preparation of our consolidated financial statements, refer to our </w:t>
      </w:r>
      <w:hyperlink r:id="rId6">
        <w:r>
          <w:rPr>
            <w:rStyle w:val="InternetLink"/>
            <w:rFonts w:ascii="Times New Roman;serif" w:hAnsi="Times New Roman;serif"/>
            <w:b w:val="false"/>
            <w:color w:val="0000FF"/>
            <w:sz w:val="20"/>
            <w:u w:val="single"/>
          </w:rPr>
          <w:t>2024 Annual Report</w:t>
        </w:r>
      </w:hyperlink>
      <w:r>
        <w:rPr>
          <w:rFonts w:ascii="Times New Roman;serif" w:hAnsi="Times New Roman;serif"/>
          <w:b w:val="false"/>
          <w:color w:val="000000"/>
          <w:sz w:val="20"/>
        </w:rPr>
        <w:t>. There have been no significant changes to our critical accounting policies nor any recently issued accounting pronouncements that are expected to have a material impact on our financial results since December 31, 2024.</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Contractual Obligations</w:t>
      </w:r>
    </w:p>
    <w:p>
      <w:pPr>
        <w:pStyle w:val="TextBody"/>
        <w:bidi w:val="0"/>
        <w:spacing w:lineRule="auto" w:line="288"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the three months ended September 30, 2025, we entered into a non-cancelable contractual commitment of approximately $2.4 million for the remaining three months of 2025 and $5.5 million in 2026.</w:t>
      </w:r>
    </w:p>
    <w:p>
      <w:pPr>
        <w:pStyle w:val="TextBody"/>
        <w:bidi w:val="0"/>
        <w:spacing w:lineRule="auto" w:line="288" w:before="180" w:after="180"/>
        <w:ind w:left="0" w:right="0" w:firstLine="450"/>
        <w:jc w:val="left"/>
        <w:rPr/>
      </w:pPr>
      <w:r>
        <w:rPr>
          <w:rFonts w:ascii="Times New Roman;serif" w:hAnsi="Times New Roman;serif"/>
          <w:b w:val="false"/>
          <w:color w:val="000000"/>
          <w:sz w:val="20"/>
        </w:rPr>
        <w:t xml:space="preserve">Except as set forth above, there have been no material changes in our contractual obligations relating to our indebtedness, lease obligations and purchase obligations from those reported in our 2024 Annual Report. For more information on our contractual obligations and commercial commitments, see Part II, Item 7 in our </w:t>
      </w:r>
      <w:hyperlink r:id="rId7">
        <w:r>
          <w:rPr>
            <w:rStyle w:val="InternetLink"/>
            <w:rFonts w:ascii="Times New Roman;serif" w:hAnsi="Times New Roman;serif"/>
            <w:b w:val="false"/>
            <w:color w:val="0000FF"/>
            <w:sz w:val="20"/>
            <w:u w:val="single"/>
          </w:rPr>
          <w:t>2024 Annual Report</w:t>
        </w:r>
      </w:hyperlink>
      <w:r>
        <w:rPr>
          <w:rFonts w:ascii="Times New Roman;serif" w:hAnsi="Times New Roman;serif"/>
          <w:b w:val="false"/>
          <w:color w:val="000000"/>
          <w:sz w:val="2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58" name="Frame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Q3 </w:t>
                            </w:r>
                            <w:r>
                              <w:rPr>
                                <w:rFonts w:ascii="Times New Roman;serif" w:hAnsi="Times New Roman;serif"/>
                                <w:b w:val="false"/>
                                <w:color w:val="000000"/>
                                <w:sz w:val="20"/>
                              </w:rPr>
                              <w:t>2025</w:t>
                            </w:r>
                            <w:r>
                              <w:rPr>
                                <w:color w:val="000000"/>
                              </w:rPr>
                              <w:t xml:space="preserve"> </w:t>
                            </w:r>
                            <w:r>
                              <w:rPr>
                                <w:rFonts w:ascii="Times New Roman;serif" w:hAnsi="Times New Roman;serif"/>
                                <w:b w:val="false"/>
                                <w:color w:val="000000"/>
                                <w:sz w:val="19"/>
                              </w:rPr>
                              <w:t>Form 10-Q | 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Q3 </w:t>
                      </w:r>
                      <w:r>
                        <w:rPr>
                          <w:rFonts w:ascii="Times New Roman;serif" w:hAnsi="Times New Roman;serif"/>
                          <w:b w:val="false"/>
                          <w:color w:val="000000"/>
                          <w:sz w:val="20"/>
                        </w:rPr>
                        <w:t>2025</w:t>
                      </w:r>
                      <w:r>
                        <w:rPr>
                          <w:color w:val="000000"/>
                        </w:rPr>
                        <w:t xml:space="preserve"> </w:t>
                      </w:r>
                      <w:r>
                        <w:rPr>
                          <w:rFonts w:ascii="Times New Roman;serif" w:hAnsi="Times New Roman;serif"/>
                          <w:b w:val="false"/>
                          <w:color w:val="000000"/>
                          <w:sz w:val="19"/>
                        </w:rPr>
                        <w:t>Form 10-Q | 55</w:t>
                      </w:r>
                    </w:p>
                  </w:txbxContent>
                </v:textbox>
                <w10:wrap type="none"/>
              </v:rect>
            </w:pict>
          </mc:Fallback>
        </mc:AlternateContent>
      </w:r>
    </w:p>
    <w:p>
      <w:pPr>
        <w:pStyle w:val="TextBody"/>
        <w:bidi w:val="0"/>
        <w:spacing w:lineRule="auto" w:line="288" w:before="0" w:after="0"/>
        <w:jc w:val="left"/>
        <w:rPr/>
      </w:pPr>
      <w:hyperlink w:anchor="i004be9cfd92c48c78448e0b03d16957e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left"/>
        <w:rPr/>
      </w:pPr>
      <w:r>
        <w:rPr>
          <w:rFonts w:ascii="Times New Roman;serif" w:hAnsi="Times New Roman;serif"/>
          <w:b/>
          <w:color w:val="000000"/>
          <w:sz w:val="20"/>
        </w:rPr>
        <w:t xml:space="preserve">Item 3. </w:t>
      </w:r>
      <w:r>
        <w:rPr>
          <w:rFonts w:ascii="Times New Roman;serif" w:hAnsi="Times New Roman;serif"/>
          <w:b/>
          <w:i/>
          <w:color w:val="000000"/>
          <w:sz w:val="20"/>
        </w:rPr>
        <w:t>QUANTITATIVE AND QUALITATIVE DISCLOSURES ABOUT MARKET RISK</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primary objective of our cash equivalents and investment activities is to preserve principal while at the same time maximizing the income that we receive from our investments without significantly increasing risk. We invest in corporate bonds, commercial paper, asset-backed securities and U.S. Treasury and other government agency notes for purposes other than trading which are reported at fair value. These securities are subject to interest rate risk and credit risk. This means that a change in prevailing interest rates may cause the fair value of the investment to fluctuate. For example, if we hold a security that was issued with a fixed interest rate at the then-prevailing rate and the interest rate later rises, we expect that the fair value of our investment will decline. A hypothetical 100 basis point increase in interest rates would have reduced the fair value of our available-for-sale securities at September 30, 2025 by approximately $0.4 million.</w:t>
      </w:r>
    </w:p>
    <w:p>
      <w:pPr>
        <w:pStyle w:val="TextBody"/>
        <w:bidi w:val="0"/>
        <w:spacing w:lineRule="auto" w:line="288" w:before="180" w:after="283"/>
        <w:ind w:left="0" w:right="0" w:firstLine="450"/>
        <w:jc w:val="left"/>
        <w:rPr/>
      </w:pPr>
      <w:r>
        <w:rPr>
          <w:rFonts w:ascii="Times New Roman;serif" w:hAnsi="Times New Roman;serif"/>
          <w:b w:val="false"/>
          <w:color w:val="000000"/>
          <w:sz w:val="20"/>
        </w:rPr>
        <w:t xml:space="preserve">The fair value of our 2029 Notes is impacted by both the fair value of our common stock and interest rate fluctuations. As of September 30, 2025, the estimated fair value of the 2029 Notes was $1,014 per $1,000 principal amount. See Note 9, </w:t>
      </w:r>
      <w:r>
        <w:rPr>
          <w:rFonts w:ascii="Times New Roman;serif" w:hAnsi="Times New Roman;serif"/>
          <w:b w:val="false"/>
          <w:i/>
          <w:color w:val="000000"/>
          <w:sz w:val="20"/>
        </w:rPr>
        <w:t>Debt</w:t>
      </w:r>
      <w:r>
        <w:rPr>
          <w:rFonts w:ascii="Times New Roman;serif" w:hAnsi="Times New Roman;serif"/>
          <w:b w:val="false"/>
          <w:color w:val="000000"/>
          <w:sz w:val="20"/>
        </w:rPr>
        <w:t>, to our condensed consolidated financial statements included herein for further discussion of our 2029 Notes, which bear interest at a fixed rate. At September 30, 2025, $287.5 million of principal remains outstanding on the 2029 Notes.</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Revolving Credit Facility provides for a senior secured revolving credit facility in an aggregate commitment amount of $300.0 million, with a letter of credit sublimit of $10.0 million and swingline loan sublimit of $15.0 million. Each revolving loan borrowing which is an alternate base rate borrowing will bear interest at a rate per annum equal to (i) a base rate, plus (ii) a spread based on our Senior Secured Net Leverage Ratio (as defined in the Credit Agreement) ranging from 1.50% to 2.25%. Each revolving loan borrowing which is a term benchmark borrowing or daily simple SOFR (as defined in the Credit Agreement) borrowing will bear interest at a rate per annum equal to (i) a forward-looking term rate based on SOFR or a rate determined by reference to the daily simple SOFR, plus (ii) a spread based on our Senior Secured Net Leverage Ratio ranging from 2.50% to 3.25%. Upon entering into the Credit Agreement, we borrowed $101.0 million under the Revolving Credit Facility, of which $96.0 million is outstanding as of September 30, 2025. As of September 30, 2025, borrowings under the Revolving Credit Facility consisted entirely of term SOFR borrowings at an approximate all-in rate of 6.91%. A hypothetical 100 basis point increase in interest rates would increase interest expense over the next 12 months by approximately $1.0 million based on the balance outstanding for these borrowings as of September 30, 2025.</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have agreements with certain vendors and partners that operate in foreign jurisdictions. The more significant transactions are primarily denominated in the U.S. Dollar, subject to an annual adjustment based on changes in currency exchange rates.</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Additionally, our accounts receivable are primarily concentrated with three large wholesalers of pharmaceutical products. In the event of non-performance or non-payment, there may be a material adverse impact on our financial condition, results of operations or net cash flow.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75260"/>
                <wp:effectExtent l="0" t="0" r="0" b="0"/>
                <wp:wrapNone/>
                <wp:docPr id="59" name="Frame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Q3 </w:t>
                            </w:r>
                            <w:r>
                              <w:rPr>
                                <w:rFonts w:ascii="Times New Roman;serif" w:hAnsi="Times New Roman;serif"/>
                                <w:b w:val="false"/>
                                <w:color w:val="000000"/>
                                <w:sz w:val="20"/>
                              </w:rPr>
                              <w:t>2025</w:t>
                            </w:r>
                            <w:r>
                              <w:rPr>
                                <w:color w:val="000000"/>
                              </w:rPr>
                              <w:t xml:space="preserve"> </w:t>
                            </w:r>
                            <w:r>
                              <w:rPr>
                                <w:rFonts w:ascii="Times New Roman;serif" w:hAnsi="Times New Roman;serif"/>
                                <w:b w:val="false"/>
                                <w:color w:val="000000"/>
                                <w:sz w:val="19"/>
                              </w:rPr>
                              <w:t>Form 10-Q | 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Q3 </w:t>
                      </w:r>
                      <w:r>
                        <w:rPr>
                          <w:rFonts w:ascii="Times New Roman;serif" w:hAnsi="Times New Roman;serif"/>
                          <w:b w:val="false"/>
                          <w:color w:val="000000"/>
                          <w:sz w:val="20"/>
                        </w:rPr>
                        <w:t>2025</w:t>
                      </w:r>
                      <w:r>
                        <w:rPr>
                          <w:color w:val="000000"/>
                        </w:rPr>
                        <w:t xml:space="preserve"> </w:t>
                      </w:r>
                      <w:r>
                        <w:rPr>
                          <w:rFonts w:ascii="Times New Roman;serif" w:hAnsi="Times New Roman;serif"/>
                          <w:b w:val="false"/>
                          <w:color w:val="000000"/>
                          <w:sz w:val="19"/>
                        </w:rPr>
                        <w:t>Form 10-Q | 56</w:t>
                      </w:r>
                    </w:p>
                  </w:txbxContent>
                </v:textbox>
                <w10:wrap type="none"/>
              </v:rect>
            </w:pict>
          </mc:Fallback>
        </mc:AlternateContent>
      </w:r>
    </w:p>
    <w:p>
      <w:pPr>
        <w:pStyle w:val="TextBody"/>
        <w:bidi w:val="0"/>
        <w:spacing w:lineRule="auto" w:line="288" w:before="0" w:after="0"/>
        <w:jc w:val="left"/>
        <w:rPr/>
      </w:pPr>
      <w:hyperlink w:anchor="i004be9cfd92c48c78448e0b03d16957e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left"/>
        <w:rPr/>
      </w:pPr>
      <w:r>
        <w:rPr>
          <w:rFonts w:ascii="Times New Roman;serif" w:hAnsi="Times New Roman;serif"/>
          <w:b/>
          <w:color w:val="000000"/>
          <w:sz w:val="20"/>
        </w:rPr>
        <w:t xml:space="preserve">Item 4. </w:t>
      </w:r>
      <w:r>
        <w:rPr>
          <w:rFonts w:ascii="Times New Roman;serif" w:hAnsi="Times New Roman;serif"/>
          <w:b/>
          <w:i/>
          <w:color w:val="000000"/>
          <w:sz w:val="20"/>
        </w:rPr>
        <w:t>CONTROLS AND PROCEDURES</w:t>
      </w:r>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Evaluation of Disclosure Controls and Procedures</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As required by Rule 13a-15(b) under the Exchange Act, our management, including our Chief Executive Officer and our Chief Financial Officer, conducted an evaluation of the effectiveness of the design and operation of our disclosure controls and procedures as of the end of the period covered by this report. As defined in Rules 13a-15(e) and 15d-15(e) under the Exchange Act, disclosure controls and procedures are controls and other procedures which are designed to ensure that information required to be disclosed by us in the reports we file or submit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us in the reports we file or submit under the Exchange Act is accumulated and communicated to our management, including our Chief Executive Officer and our Chief Financial Officer, as appropriate, to allow timely decisions regarding required disclosure.</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Based on that evaluation, our Chief Executive Officer and our Chief Financial Officer concluded that our disclosure controls and procedures were effective as of September 30, 2025.</w:t>
      </w:r>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Changes in Internal Control over Financial Reporting</w:t>
      </w:r>
    </w:p>
    <w:p>
      <w:pPr>
        <w:pStyle w:val="TextBody"/>
        <w:bidi w:val="0"/>
        <w:spacing w:lineRule="auto" w:line="288"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There have been no changes in our internal control over financial reporting that occurred during the quarter ended September 30, 2025 that have materially affected, or are reasonably likely to materially affect, our internal control over financial reporting.</w:t>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Inherent Limitations on Effectiveness of Controls</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management, including the Chief Executive Officer and our Chief Financial Officer, does not expect that our disclosure controls or our internal control over financial reporting will prevent or detect all errors and all fraud. A control system, no matter how well designed and operated, can provide only reasonable, not absolute, assurance that the control system’s objectives will be met. The design of a control system must reflect the fact that there are resource constraints, and the benefits of controls must be considered relative to their costs. Further, because of the inherent limitations in all control systems, no evaluation of controls can provide absolute assurance that misstatements due to error or fraud will not occur or that all control issues and instances of fraud, if any, within our company have been detected. These inherent limitations include the realities that judgments in decision-making can be faulty and that breakdowns can occur because of simple errors or mistakes. Controls can also be circumvented by the individual acts of some persons, by collusion of two or more people or by management override of the controls. The design of any system of controls is based in part on certain assumptions about the likelihood of future events, and there can be no assurance that any design will succeed in achieving its stated goals under all potential future conditions. Projections of any evaluation of controls effectiveness to future periods are subject to risks. Over time, controls may become inadequate because of changes in conditions or deterioration in the degree of compliance with policies or procedures.</w:t>
      </w:r>
    </w:p>
    <w:p>
      <w:pPr>
        <w:pStyle w:val="TextBody"/>
        <w:bidi w:val="0"/>
        <w:spacing w:before="0" w:after="0"/>
        <w:ind w:left="0" w:right="0" w:firstLine="4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75260"/>
                <wp:effectExtent l="0" t="0" r="0" b="0"/>
                <wp:wrapNone/>
                <wp:docPr id="60" name="Frame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Q3 </w:t>
                            </w:r>
                            <w:r>
                              <w:rPr>
                                <w:rFonts w:ascii="Times New Roman;serif" w:hAnsi="Times New Roman;serif"/>
                                <w:b w:val="false"/>
                                <w:color w:val="000000"/>
                                <w:sz w:val="20"/>
                              </w:rPr>
                              <w:t>2025</w:t>
                            </w:r>
                            <w:r>
                              <w:rPr>
                                <w:color w:val="000000"/>
                              </w:rPr>
                              <w:t xml:space="preserve"> </w:t>
                            </w:r>
                            <w:r>
                              <w:rPr>
                                <w:rFonts w:ascii="Times New Roman;serif" w:hAnsi="Times New Roman;serif"/>
                                <w:b w:val="false"/>
                                <w:color w:val="000000"/>
                                <w:sz w:val="19"/>
                              </w:rPr>
                              <w:t>Form 10-Q | 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Q3 </w:t>
                      </w:r>
                      <w:r>
                        <w:rPr>
                          <w:rFonts w:ascii="Times New Roman;serif" w:hAnsi="Times New Roman;serif"/>
                          <w:b w:val="false"/>
                          <w:color w:val="000000"/>
                          <w:sz w:val="20"/>
                        </w:rPr>
                        <w:t>2025</w:t>
                      </w:r>
                      <w:r>
                        <w:rPr>
                          <w:color w:val="000000"/>
                        </w:rPr>
                        <w:t xml:space="preserve"> </w:t>
                      </w:r>
                      <w:r>
                        <w:rPr>
                          <w:rFonts w:ascii="Times New Roman;serif" w:hAnsi="Times New Roman;serif"/>
                          <w:b w:val="false"/>
                          <w:color w:val="000000"/>
                          <w:sz w:val="19"/>
                        </w:rPr>
                        <w:t>Form 10-Q | 57</w:t>
                      </w:r>
                    </w:p>
                  </w:txbxContent>
                </v:textbox>
                <w10:wrap type="none"/>
              </v:rect>
            </w:pict>
          </mc:Fallback>
        </mc:AlternateContent>
      </w:r>
    </w:p>
    <w:p>
      <w:pPr>
        <w:pStyle w:val="TextBody"/>
        <w:bidi w:val="0"/>
        <w:spacing w:lineRule="auto" w:line="288" w:before="0" w:after="0"/>
        <w:jc w:val="left"/>
        <w:rPr/>
      </w:pPr>
      <w:hyperlink w:anchor="i004be9cfd92c48c78448e0b03d16957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PART II — OTHER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rPr>
        <w:t xml:space="preserve">Item 1. </w:t>
      </w:r>
      <w:r>
        <w:rPr>
          <w:rFonts w:ascii="Times New Roman;serif" w:hAnsi="Times New Roman;serif"/>
          <w:b/>
          <w:i/>
          <w:color w:val="000000"/>
          <w:sz w:val="20"/>
        </w:rPr>
        <w:t>LEGAL PROCEEDINGS</w:t>
      </w:r>
    </w:p>
    <w:p>
      <w:pPr>
        <w:pStyle w:val="TextBody"/>
        <w:bidi w:val="0"/>
        <w:spacing w:before="0" w:after="0"/>
        <w:jc w:val="left"/>
        <w:rPr/>
      </w:pPr>
      <w:r>
        <w:rPr/>
      </w:r>
    </w:p>
    <w:p>
      <w:pPr>
        <w:pStyle w:val="TextBody"/>
        <w:bidi w:val="0"/>
        <w:spacing w:lineRule="auto" w:line="288" w:before="0" w:after="0"/>
        <w:ind w:left="0" w:right="0" w:firstLine="450"/>
        <w:jc w:val="left"/>
        <w:rPr/>
      </w:pPr>
      <w:r>
        <w:rPr>
          <w:rFonts w:ascii="Times New Roman;serif" w:hAnsi="Times New Roman;serif"/>
          <w:b w:val="false"/>
          <w:color w:val="000000"/>
          <w:sz w:val="20"/>
        </w:rPr>
        <w:t xml:space="preserve">For information related to Item 1. Legal Proceedings, refer to Note 16, </w:t>
      </w:r>
      <w:r>
        <w:rPr>
          <w:rFonts w:ascii="Times New Roman;serif" w:hAnsi="Times New Roman;serif"/>
          <w:b w:val="false"/>
          <w:i/>
          <w:color w:val="000000"/>
          <w:sz w:val="20"/>
        </w:rPr>
        <w:t>Commitments and Contingencies</w:t>
      </w:r>
      <w:r>
        <w:rPr>
          <w:rFonts w:ascii="Times New Roman;serif" w:hAnsi="Times New Roman;serif"/>
          <w:b w:val="false"/>
          <w:color w:val="000000"/>
          <w:sz w:val="20"/>
        </w:rPr>
        <w:t>, to our</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condensed consolidated financial statements included herein.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rPr>
        <w:t xml:space="preserve">Item 1A. </w:t>
      </w:r>
      <w:r>
        <w:rPr>
          <w:rFonts w:ascii="Times New Roman;serif" w:hAnsi="Times New Roman;serif"/>
          <w:b/>
          <w:i/>
          <w:color w:val="000000"/>
          <w:sz w:val="20"/>
        </w:rPr>
        <w:t>RISK FACTORS</w:t>
      </w:r>
    </w:p>
    <w:p>
      <w:pPr>
        <w:pStyle w:val="TextBody"/>
        <w:bidi w:val="0"/>
        <w:spacing w:before="0" w:after="0"/>
        <w:jc w:val="left"/>
        <w:rPr/>
      </w:pPr>
      <w:r>
        <w:rPr/>
      </w:r>
    </w:p>
    <w:p>
      <w:pPr>
        <w:pStyle w:val="TextBody"/>
        <w:bidi w:val="0"/>
        <w:spacing w:lineRule="auto" w:line="288" w:before="0" w:after="0"/>
        <w:ind w:left="0" w:right="0" w:firstLine="450"/>
        <w:jc w:val="left"/>
        <w:rPr/>
      </w:pPr>
      <w:r>
        <w:rPr>
          <w:rFonts w:ascii="Times New Roman;serif" w:hAnsi="Times New Roman;serif"/>
          <w:b w:val="false"/>
          <w:color w:val="000000"/>
          <w:sz w:val="20"/>
        </w:rPr>
        <w:t xml:space="preserve">You should carefully consider the factors discussed in Part I, Item 1A. “Risk Factors” in our </w:t>
      </w:r>
      <w:hyperlink r:id="rId8">
        <w:r>
          <w:rPr>
            <w:rStyle w:val="InternetLink"/>
            <w:rFonts w:ascii="Times New Roman;serif" w:hAnsi="Times New Roman;serif"/>
            <w:b w:val="false"/>
            <w:color w:val="0000FF"/>
            <w:sz w:val="20"/>
            <w:u w:val="single"/>
          </w:rPr>
          <w:t>2024 Annual Report</w:t>
        </w:r>
      </w:hyperlink>
      <w:r>
        <w:rPr>
          <w:rFonts w:ascii="Times New Roman;serif" w:hAnsi="Times New Roman;serif"/>
          <w:b w:val="false"/>
          <w:color w:val="000000"/>
          <w:sz w:val="20"/>
        </w:rPr>
        <w:t>, which could materially affect our business, financial condition, cash flows or future results. Except as described below, there have been no material changes in our risk factors included in our 2024 Annual Report. The risks described in our 2024 Annual Report are not the only risks facing our Company. Additional risks and uncertainties not currently known to us or that we currently deem to be immaterial also may materially adversely affect our business, financial condition or future results.</w:t>
      </w:r>
    </w:p>
    <w:p>
      <w:pPr>
        <w:pStyle w:val="TextBody"/>
        <w:bidi w:val="0"/>
        <w:spacing w:before="0" w:after="0"/>
        <w:ind w:left="0" w:right="0" w:firstLine="450"/>
        <w:jc w:val="left"/>
        <w:rPr/>
      </w:pPr>
      <w:r>
        <w:rPr/>
      </w: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Risks Related to Intellectual Property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The patents and the patent applications that we have covering our pMVL products are limited to specific injectable formulations, processes and uses of drugs encapsulated in our pMVL drug delivery technology and our market opportunity for our product candidates may be limited by the lack of patent protection for the active ingredient itself and other formulations and delivery technologies and systems that may be developed by competitors.</w:t>
      </w:r>
    </w:p>
    <w:p>
      <w:pPr>
        <w:pStyle w:val="TextBody"/>
        <w:bidi w:val="0"/>
        <w:spacing w:before="0" w:after="0"/>
        <w:jc w:val="left"/>
        <w:rPr/>
      </w:pPr>
      <w:r>
        <w:rPr/>
      </w:r>
    </w:p>
    <w:p>
      <w:pPr>
        <w:pStyle w:val="TextBody"/>
        <w:bidi w:val="0"/>
        <w:spacing w:lineRule="auto" w:line="288" w:before="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active ingredient in EXPAREL is bupivacaine. Patent protection for the bupivacaine molecules themselves has expired and generic immediate-release products are available. As a result, competitors who obtain the requisite regulatory approval can offer products with the same active ingredient as EXPAREL so long as the competitors do not infringe any process, use or formulation patents that we have developed for drugs encapsulated in our pMVL drug delivery technology.</w:t>
      </w:r>
    </w:p>
    <w:p>
      <w:pPr>
        <w:pStyle w:val="TextBody"/>
        <w:bidi w:val="0"/>
        <w:spacing w:lineRule="auto" w:line="288" w:before="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For example, we are aware of at least one FDA-approved long-acting instillable bupivacaine product on the market which utilizes an alternative delivery system to EXPAREL. Such a product is similar to EXPAREL in that it also extends the duration of effect of bupivacaine, but achieves this clinical outcome using a completely different drug delivery system as compared to our pMVL drug delivery technology.</w:t>
      </w:r>
    </w:p>
    <w:p>
      <w:pPr>
        <w:pStyle w:val="TextBody"/>
        <w:bidi w:val="0"/>
        <w:spacing w:lineRule="auto" w:line="288" w:before="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number of patents and patent applications covering products in the same field as EXPAREL indicates that competitors have sought to develop and may seek to market competing formulations that may not be covered by our patents and patent applications. The commercial opportunity for EXPAREL could be significantly harmed if competitors are able to develop and commercialize alternative formulations of bupivacaine that are long-acting but outside the scope of our patents.</w:t>
      </w:r>
    </w:p>
    <w:p>
      <w:pPr>
        <w:pStyle w:val="TextBody"/>
        <w:bidi w:val="0"/>
        <w:spacing w:lineRule="auto" w:line="288" w:before="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For instance, because EXPAREL has been approved by the FDA, one or more third parties may challenge the patents covering this product, as described below, which could result in the invalidation or unenforceability of some or all of the relevant patent claims. For example, if a third-party files an ANDA for a generic drug product containing bupivacaine and relies in whole or in part on studies conducted by or for us, the third-party will be required to certify to the FDA that either: (i) there is no patent information listed in the FDA’s Orange Book with respect to our NDA for EXPAREL; (ii) the patents listed in the Orange Book have expired; (iii) the listed patents have not expired, but will expire on a particular date and approval is sought after patent expiration or (iv) the listed patents are invalid or will not be infringed by the manufacture, use or sale of the third-party’s generic drug product. A certification that the new product will not infringe the Orange Book-listed patents for EXPAREL, or that such patents are invalid, is called a Paragraph IV certification. If the third-party submits a Paragraph IV certification to the FDA, a notice of the Paragraph IV certification must also be sent to us once the third-party’s ANDA is accepted for filing by the FDA. We may then initiate a lawsuit to defend the patents identified in the notice. The filing of a patent infringement lawsuit within 45 days of receipt of the notice automatically prevents the FDA from approving the third-party’s ANDA until the earliest of 30 months or the date on which the patent expires, the lawsuit is settled or the court reaches a decision in the infringement lawsuit in favor of the third-party. If we do not file a patent infringement lawsuit within the required 45-day period, the third-party’s ANDA will not be subject to the 30-month stay. Litigation or other proceedings to enforce or defend intellectual property rights are often very complex in nature, may be very expensive and time-consuming, may divert our management’s attention from our core business and may result in unfavorable results that could adversely impact our ability to prevent third parties from competing with our products.</w:t>
      </w:r>
    </w:p>
    <w:p>
      <w:pPr>
        <w:pStyle w:val="TextBody"/>
        <w:bidi w:val="0"/>
        <w:spacing w:lineRule="auto" w:line="288" w:before="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For example, In October 2021, December 2021, April 2023 and May 2024, we received Notice Letters advising that eVenus Pharmaceutical Laboratories, Inc., or eVenus, of Princeton, New Jersey, submitted to the FDA an Abbreviated New Drug Application, or ANDA with a Paragraph IV certification seeking authorization for the manufacturing and marketing of a generic bupivacaine liposome injectable suspension in the U.S. prior to the expiration of certain of our U.S. patents.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75260"/>
                <wp:effectExtent l="0" t="0" r="0" b="0"/>
                <wp:wrapNone/>
                <wp:docPr id="61" name="Frame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Q3 </w:t>
                            </w:r>
                            <w:r>
                              <w:rPr>
                                <w:rFonts w:ascii="Times New Roman;serif" w:hAnsi="Times New Roman;serif"/>
                                <w:b w:val="false"/>
                                <w:color w:val="000000"/>
                                <w:sz w:val="20"/>
                              </w:rPr>
                              <w:t>2025</w:t>
                            </w:r>
                            <w:r>
                              <w:rPr>
                                <w:color w:val="000000"/>
                              </w:rPr>
                              <w:t xml:space="preserve"> </w:t>
                            </w:r>
                            <w:r>
                              <w:rPr>
                                <w:rFonts w:ascii="Times New Roman;serif" w:hAnsi="Times New Roman;serif"/>
                                <w:b w:val="false"/>
                                <w:color w:val="000000"/>
                                <w:sz w:val="19"/>
                              </w:rPr>
                              <w:t>Form 10-Q | 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Q3 </w:t>
                      </w:r>
                      <w:r>
                        <w:rPr>
                          <w:rFonts w:ascii="Times New Roman;serif" w:hAnsi="Times New Roman;serif"/>
                          <w:b w:val="false"/>
                          <w:color w:val="000000"/>
                          <w:sz w:val="20"/>
                        </w:rPr>
                        <w:t>2025</w:t>
                      </w:r>
                      <w:r>
                        <w:rPr>
                          <w:color w:val="000000"/>
                        </w:rPr>
                        <w:t xml:space="preserve"> </w:t>
                      </w:r>
                      <w:r>
                        <w:rPr>
                          <w:rFonts w:ascii="Times New Roman;serif" w:hAnsi="Times New Roman;serif"/>
                          <w:b w:val="false"/>
                          <w:color w:val="000000"/>
                          <w:sz w:val="19"/>
                        </w:rPr>
                        <w:t>Form 10-Q | 58</w:t>
                      </w:r>
                    </w:p>
                  </w:txbxContent>
                </v:textbox>
                <w10:wrap type="none"/>
              </v:rect>
            </w:pict>
          </mc:Fallback>
        </mc:AlternateContent>
      </w:r>
    </w:p>
    <w:p>
      <w:pPr>
        <w:pStyle w:val="TextBody"/>
        <w:bidi w:val="0"/>
        <w:spacing w:lineRule="auto" w:line="288" w:before="0" w:after="0"/>
        <w:jc w:val="left"/>
        <w:rPr/>
      </w:pPr>
      <w:hyperlink w:anchor="i004be9cfd92c48c78448e0b03d16957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Beginning in November 2021, we filed various patent infringement suits against eVenus, its parent company (Jiangsu Hengrui Pharmaceuticals, Co. Ltd., or Jiangsu Hengrui) and Fresenius Kabi USA, LLC, or Fresenius, (together, the “eVenus ANDA Filers”) in the U.S. District Court for the District of New Jersey asserting infringement of U.S. Patent No. 11,033,495 (the ‘495 patent) (21-cv-19829), U.S. Patent No. 11,179,336 (the ‘336 patent) (22-cv-00718), U.S. Patent No. 11,426,348 (the ‘348 patent) (23-cv-02367), U.S. Patent Nos. 11,819,574 (the ‘574 patent) and 11,819,575 (the ‘575 patent) (24-cv-06294), and U.S. Patent No. 11,925,706 (the ‘706 patent) (24-cv-07680). In December 2024, we filed a patent infringement suit against Fresenius and Jiangsu Hengrui in the Northern District of Illinois (24-cv-12416) asserting that the ANDA products will infringe U.S. Patent No. 12,156,940 (the ‘940 patent). Also in December 2024, the eVenus ANDA Filers filed an action for declaratory judgment of non-infringement and invalidity with respect to the ‘940 patent in the District Court of New Jersey (24-cv-11014).</w:t>
      </w:r>
    </w:p>
    <w:p>
      <w:pPr>
        <w:pStyle w:val="TextBody"/>
        <w:bidi w:val="0"/>
        <w:spacing w:lineRule="auto" w:line="288" w:before="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On April 7, 2025, we, along with our operating subsidiary, Pacira Pharmaceuticals, Inc., entered into a settlement agreement with the eVenus ANDA Filers with respect to the litigations noted above. Pursuant to the settlement agreement, the eVenus ANDA Filers are enjoined from marketing a generic bupivacaine liposome injectable suspension before the expiration of the patents-in-suit, except as provided for in the settlement agreement, as described below. In settlement of all outstanding claims in the litigations, we agreed to provide the eVenus ANDA Filers with a license to our patents required to manufacture and sell certain volume-limited amounts of a generic bupivacaine liposome injectable suspension in the U.S. beginning on a confidential date that is sometime in early 2030. While the agreed-upon volume-limited percentages are confidential, they begin at a high single-digit percentage of the total volumes distributed in the U.S. market and increase gradually in each 12-month period following the volume-limited entry date until reaching a percentage in the low thirties in 2033 and increasing modestly in each of the next two 12-month periods before reaching a maximum percentage in the high thirties of the total volumes distributed in the U.S. for the final three years of the agreement. In addition, we have agreed to provide the eVenus ANDA Filers with a license to our patents required to manufacture and sell an unlimited quantity of a generic bupivacaine liposome injectable suspension in the U.S. beginning on a confidential date in 2039. In addition, in recognition of our expected savings with respect to, among other things, the avoidance of fees, costs, time and resources associated with continuing the litigations, we paid the eVenus ANDA Filers $7.0 million.</w:t>
      </w:r>
    </w:p>
    <w:p>
      <w:pPr>
        <w:pStyle w:val="TextBody"/>
        <w:bidi w:val="0"/>
        <w:spacing w:lineRule="auto" w:line="288" w:before="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Additionally, in October 2025, we received two separate Paragraph IV Certifications from two Chinese generic drug manufacturers (The WhiteOak Group, Inc., or WhiteOak, of Rockville, Maryland (a subsidiary of Zhejiang Haichang Biotechnology Co., Ltd.) and Qilu Pharmaceutical (Hainan) Co., Ltd., or Qilu), each advising that they had submitted an ANDA to the FDA seeking authorization from the FDA to manufacture, use or sell a generic version of EXPAREL in the U.S. Each letter alleged that EXPAREL patents listed in the FDA’s Orange Book are not valid, not enforceable, and/or will not be infringed by the commercial manufacture, use or sale of the proposed products described in these ANDA submissions.</w:t>
      </w:r>
    </w:p>
    <w:p>
      <w:pPr>
        <w:pStyle w:val="TextBody"/>
        <w:bidi w:val="0"/>
        <w:spacing w:lineRule="auto" w:line="288" w:before="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are currently assessing these notification letters and have 45 days from the applicable date of receipt to commence patent infringement lawsuits against these generic challengers if we believe they are infringing our intellectual property. In the event that we file one or more patent infringement lawsuit(s), the FDA would enter a 30-month stay of final approval of the ANDA(s). We intend to vigorously defend our intellectual property rights relating to EXPAREL. We are unable to predict the outcome of these matters at this time.</w:t>
      </w:r>
    </w:p>
    <w:p>
      <w:pPr>
        <w:pStyle w:val="TextBody"/>
        <w:bidi w:val="0"/>
        <w:spacing w:lineRule="auto" w:line="288" w:before="0" w:after="120"/>
        <w:ind w:left="0" w:right="0" w:firstLine="450"/>
        <w:jc w:val="left"/>
        <w:rPr/>
      </w:pPr>
      <w:r>
        <w:rPr>
          <w:rFonts w:ascii="Times New Roman;serif" w:hAnsi="Times New Roman;serif"/>
          <w:b w:val="false"/>
          <w:color w:val="000000"/>
          <w:sz w:val="20"/>
        </w:rPr>
        <w:t xml:space="preserve">For more information on these litigations and other legal proceedings we are involved in, see Note 16, </w:t>
      </w:r>
      <w:r>
        <w:rPr>
          <w:rFonts w:ascii="Times New Roman;serif" w:hAnsi="Times New Roman;serif"/>
          <w:b w:val="false"/>
          <w:i/>
          <w:color w:val="000000"/>
          <w:sz w:val="20"/>
        </w:rPr>
        <w:t>Commitments and Contingencies</w:t>
      </w:r>
      <w:r>
        <w:rPr>
          <w:rFonts w:ascii="Times New Roman;serif" w:hAnsi="Times New Roman;serif"/>
          <w:b w:val="false"/>
          <w:color w:val="000000"/>
          <w:sz w:val="20"/>
        </w:rPr>
        <w:t>, to our condensed consolidated financial statements included herein.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75260"/>
                <wp:effectExtent l="0" t="0" r="0" b="0"/>
                <wp:wrapNone/>
                <wp:docPr id="62" name="Frame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Q3 </w:t>
                            </w:r>
                            <w:r>
                              <w:rPr>
                                <w:rFonts w:ascii="Times New Roman;serif" w:hAnsi="Times New Roman;serif"/>
                                <w:b w:val="false"/>
                                <w:color w:val="000000"/>
                                <w:sz w:val="20"/>
                              </w:rPr>
                              <w:t>2025</w:t>
                            </w:r>
                            <w:r>
                              <w:rPr>
                                <w:color w:val="000000"/>
                              </w:rPr>
                              <w:t xml:space="preserve"> </w:t>
                            </w:r>
                            <w:r>
                              <w:rPr>
                                <w:rFonts w:ascii="Times New Roman;serif" w:hAnsi="Times New Roman;serif"/>
                                <w:b w:val="false"/>
                                <w:color w:val="000000"/>
                                <w:sz w:val="19"/>
                              </w:rPr>
                              <w:t>Form 10-Q | 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Q3 </w:t>
                      </w:r>
                      <w:r>
                        <w:rPr>
                          <w:rFonts w:ascii="Times New Roman;serif" w:hAnsi="Times New Roman;serif"/>
                          <w:b w:val="false"/>
                          <w:color w:val="000000"/>
                          <w:sz w:val="20"/>
                        </w:rPr>
                        <w:t>2025</w:t>
                      </w:r>
                      <w:r>
                        <w:rPr>
                          <w:color w:val="000000"/>
                        </w:rPr>
                        <w:t xml:space="preserve"> </w:t>
                      </w:r>
                      <w:r>
                        <w:rPr>
                          <w:rFonts w:ascii="Times New Roman;serif" w:hAnsi="Times New Roman;serif"/>
                          <w:b w:val="false"/>
                          <w:color w:val="000000"/>
                          <w:sz w:val="19"/>
                        </w:rPr>
                        <w:t>Form 10-Q | 59</w:t>
                      </w:r>
                    </w:p>
                  </w:txbxContent>
                </v:textbox>
                <w10:wrap type="none"/>
              </v:rect>
            </w:pict>
          </mc:Fallback>
        </mc:AlternateContent>
      </w:r>
    </w:p>
    <w:p>
      <w:pPr>
        <w:pStyle w:val="TextBody"/>
        <w:bidi w:val="0"/>
        <w:spacing w:lineRule="auto" w:line="288" w:before="0" w:after="0"/>
        <w:jc w:val="left"/>
        <w:rPr/>
      </w:pPr>
      <w:hyperlink w:anchor="i004be9cfd92c48c78448e0b03d16957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pPr>
      <w:r>
        <w:rPr>
          <w:rFonts w:ascii="Times New Roman;serif" w:hAnsi="Times New Roman;serif"/>
          <w:b/>
          <w:color w:val="000000"/>
          <w:sz w:val="20"/>
        </w:rPr>
        <w:t xml:space="preserve">Item 2. </w:t>
      </w:r>
      <w:r>
        <w:rPr>
          <w:rFonts w:ascii="Times New Roman;serif" w:hAnsi="Times New Roman;serif"/>
          <w:b/>
          <w:i/>
          <w:color w:val="000000"/>
          <w:sz w:val="20"/>
        </w:rPr>
        <w:t>UNREGISTERED SALES OF EQUITY SECURITIES AND USE OF PROCEEDS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Purchases of Equity Securities by the Registrant</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information on our share repurchases during the quarter ended September 30, 2025:</w:t>
      </w:r>
    </w:p>
    <w:p>
      <w:pPr>
        <w:pStyle w:val="TextBody"/>
        <w:bidi w:val="0"/>
        <w:spacing w:before="0" w:after="0"/>
        <w:ind w:left="0" w:right="0" w:firstLine="450"/>
        <w:jc w:val="left"/>
        <w:rPr/>
      </w:pPr>
      <w:r>
        <w:rPr/>
      </w:r>
    </w:p>
    <w:tbl>
      <w:tblPr>
        <w:tblW w:w="10205" w:type="dxa"/>
        <w:jc w:val="left"/>
        <w:tblInd w:w="0" w:type="dxa"/>
        <w:tblLayout w:type="fixed"/>
        <w:tblCellMar>
          <w:top w:w="28" w:type="dxa"/>
          <w:left w:w="28" w:type="dxa"/>
          <w:bottom w:w="28" w:type="dxa"/>
          <w:right w:w="28" w:type="dxa"/>
        </w:tblCellMar>
      </w:tblPr>
      <w:tblGrid>
        <w:gridCol w:w="844"/>
        <w:gridCol w:w="391"/>
        <w:gridCol w:w="392"/>
        <w:gridCol w:w="109"/>
        <w:gridCol w:w="109"/>
        <w:gridCol w:w="109"/>
        <w:gridCol w:w="371"/>
        <w:gridCol w:w="359"/>
        <w:gridCol w:w="361"/>
        <w:gridCol w:w="109"/>
        <w:gridCol w:w="109"/>
        <w:gridCol w:w="109"/>
        <w:gridCol w:w="235"/>
        <w:gridCol w:w="687"/>
        <w:gridCol w:w="121"/>
        <w:gridCol w:w="109"/>
        <w:gridCol w:w="109"/>
        <w:gridCol w:w="109"/>
        <w:gridCol w:w="757"/>
        <w:gridCol w:w="757"/>
        <w:gridCol w:w="759"/>
        <w:gridCol w:w="109"/>
        <w:gridCol w:w="109"/>
        <w:gridCol w:w="109"/>
        <w:gridCol w:w="388"/>
        <w:gridCol w:w="2184"/>
        <w:gridCol w:w="291"/>
      </w:tblGrid>
      <w:tr>
        <w:trPr/>
        <w:tc>
          <w:tcPr>
            <w:tcW w:w="844"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2184"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1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Issuer Purchases of Equity Securities</w:t>
            </w:r>
          </w:p>
        </w:tc>
      </w:tr>
      <w:tr>
        <w:trPr/>
        <w:tc>
          <w:tcPr>
            <w:tcW w:w="16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Number</w:t>
              <w:br/>
              <w:t>of Shares Purchased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Average Price</w:t>
            </w:r>
          </w:p>
          <w:p>
            <w:pPr>
              <w:pStyle w:val="TableContents"/>
              <w:bidi w:val="0"/>
              <w:spacing w:lineRule="auto" w:line="240" w:before="0" w:after="0"/>
              <w:jc w:val="center"/>
              <w:rPr/>
            </w:pPr>
            <w:r>
              <w:rPr>
                <w:rFonts w:ascii="Times New Roman;serif" w:hAnsi="Times New Roman;serif"/>
                <w:b/>
                <w:color w:val="000000"/>
                <w:sz w:val="18"/>
              </w:rPr>
              <w:t xml:space="preserve">Paid Per Share </w:t>
            </w:r>
            <w:r>
              <w:rPr>
                <w:rFonts w:ascii="Times New Roman;serif" w:hAnsi="Times New Roman;serif"/>
                <w:b/>
                <w:color w:val="000000"/>
                <w:sz w:val="12"/>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Total Number of Shares Purchased as Part of Publicly Announced Plans or Programs </w:t>
            </w:r>
            <w:r>
              <w:rPr>
                <w:rFonts w:ascii="Times New Roman;serif" w:hAnsi="Times New Roman;serif"/>
                <w:b/>
                <w:color w:val="000000"/>
                <w:sz w:val="12"/>
              </w:rPr>
              <w:t>(2)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Approximate Dollar Value of Shares that May Yet be Purchased Under the Plans or Programs </w:t>
            </w:r>
            <w:r>
              <w:rPr>
                <w:rFonts w:ascii="Times New Roman;serif" w:hAnsi="Times New Roman;serif"/>
                <w:b/>
                <w:color w:val="000000"/>
                <w:sz w:val="12"/>
              </w:rPr>
              <w:t>(1)</w:t>
            </w:r>
          </w:p>
        </w:tc>
      </w:tr>
      <w:tr>
        <w:trPr/>
        <w:tc>
          <w:tcPr>
            <w:tcW w:w="16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July 1, 2025 – July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249,999,997 </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1, 2025 – August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1,762,524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1,762,524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205,734,498 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1, 2025 – September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213,993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213,993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199,998,530 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1,976,517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25.30 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3"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1,976,517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199,998,530 </w:t>
            </w:r>
          </w:p>
        </w:tc>
        <w:tc>
          <w:tcPr>
            <w:tcW w:w="2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
        <w:jc w:val="left"/>
        <w:rPr/>
      </w:pPr>
      <w:r>
        <w:rPr>
          <w:rFonts w:ascii="Times New Roman;serif" w:hAnsi="Times New Roman;serif"/>
          <w:b w:val="false"/>
          <w:color w:val="000000"/>
          <w:sz w:val="16"/>
        </w:rPr>
        <w:t>(1) The average price paid per share excludes less than $0.1 million of broker fees and $0.3 million</w:t>
      </w:r>
      <w:r>
        <w:rPr>
          <w:color w:val="000000"/>
        </w:rPr>
        <w:t xml:space="preserve"> </w:t>
      </w:r>
      <w:r>
        <w:rPr>
          <w:rFonts w:ascii="Times New Roman;serif" w:hAnsi="Times New Roman;serif"/>
          <w:b w:val="false"/>
          <w:color w:val="000000"/>
          <w:sz w:val="16"/>
        </w:rPr>
        <w:t>of excise tax incurred on share repurchases for the three months ended September 30, 2025. The remaining authorization outstanding for repurchases of common stock also excludes the broker fees and excise tax incurred.</w:t>
      </w:r>
    </w:p>
    <w:p>
      <w:pPr>
        <w:pStyle w:val="TextBody"/>
        <w:bidi w:val="0"/>
        <w:spacing w:lineRule="auto" w:line="288" w:before="0" w:after="40"/>
        <w:jc w:val="left"/>
        <w:rPr>
          <w:rFonts w:ascii="Times New Roman;serif" w:hAnsi="Times New Roman;serif"/>
          <w:b w:val="false"/>
          <w:color w:val="000000"/>
          <w:sz w:val="16"/>
        </w:rPr>
      </w:pPr>
      <w:r>
        <w:rPr>
          <w:rFonts w:ascii="Times New Roman;serif" w:hAnsi="Times New Roman;serif"/>
          <w:b w:val="false"/>
          <w:color w:val="000000"/>
          <w:sz w:val="16"/>
        </w:rPr>
        <w:t>(2) Our Board of Directors has authorized the repurchase of common stock under a share repurchase program adopted and announced in April 2025. The share repurchase program authorizes the Company to purchase up to an aggregate of $300.0 million of the Company’s outstanding common stock. Repurchases under this program may be made at management’s discretion on the open market or through privately negotiated transactions, including plans that comply with Rule 10b5-1 under the Exchange Act. The share repurchase program may be suspended or discontinued at any time by the Company and has an expiration date of December 31, 2026.</w:t>
      </w:r>
    </w:p>
    <w:p>
      <w:pPr>
        <w:pStyle w:val="TextBody"/>
        <w:bidi w:val="0"/>
        <w:spacing w:lineRule="auto" w:line="288" w:before="0" w:after="40"/>
        <w:jc w:val="left"/>
        <w:rPr>
          <w:rFonts w:ascii="Times New Roman;serif" w:hAnsi="Times New Roman;serif"/>
          <w:b w:val="false"/>
          <w:color w:val="000000"/>
          <w:sz w:val="16"/>
        </w:rPr>
      </w:pPr>
      <w:r>
        <w:rPr>
          <w:rFonts w:ascii="Times New Roman;serif" w:hAnsi="Times New Roman;serif"/>
          <w:b w:val="false"/>
          <w:color w:val="000000"/>
          <w:sz w:val="16"/>
        </w:rPr>
        <w:t>The timing of any repurchases and the actual number of shares repurchased will depend on a variety of factors, including our stock price, corporate and regulatory requirements, tax implications, restrictions under our debt obligations, other uses for capital, impacts on the value of remaining shares, and market and economic conditions.</w:t>
      </w:r>
    </w:p>
    <w:p>
      <w:pPr>
        <w:pStyle w:val="TextBody"/>
        <w:bidi w:val="0"/>
        <w:spacing w:lineRule="auto" w:line="288" w:before="0" w:after="40"/>
        <w:jc w:val="left"/>
        <w:rPr/>
      </w:pPr>
      <w:r>
        <w:rPr>
          <w:rFonts w:ascii="Times New Roman;serif" w:hAnsi="Times New Roman;serif"/>
          <w:b w:val="false"/>
          <w:color w:val="000000"/>
          <w:sz w:val="16"/>
        </w:rPr>
        <w:t xml:space="preserve">Refer to Note 11, </w:t>
      </w:r>
      <w:r>
        <w:rPr>
          <w:rFonts w:ascii="Times New Roman;serif" w:hAnsi="Times New Roman;serif"/>
          <w:b w:val="false"/>
          <w:i/>
          <w:color w:val="000000"/>
          <w:sz w:val="16"/>
        </w:rPr>
        <w:t>Stockholders’ Equity</w:t>
      </w:r>
      <w:r>
        <w:rPr>
          <w:rFonts w:ascii="Times New Roman;serif" w:hAnsi="Times New Roman;serif"/>
          <w:b w:val="false"/>
          <w:color w:val="000000"/>
          <w:sz w:val="16"/>
        </w:rPr>
        <w:t>, to our condensed consolidated financial statements included herein for more information on our share repurchases.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rPr>
        <w:t xml:space="preserve">Item 3. </w:t>
      </w:r>
      <w:r>
        <w:rPr>
          <w:rFonts w:ascii="Times New Roman;serif" w:hAnsi="Times New Roman;serif"/>
          <w:b/>
          <w:i/>
          <w:color w:val="000000"/>
          <w:sz w:val="20"/>
        </w:rPr>
        <w:t>DEFAULTS UPON SENIOR SECURITIES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rPr>
        <w:t xml:space="preserve">Item 4. </w:t>
      </w:r>
      <w:r>
        <w:rPr>
          <w:rFonts w:ascii="Times New Roman;serif" w:hAnsi="Times New Roman;serif"/>
          <w:b/>
          <w:i/>
          <w:color w:val="000000"/>
          <w:sz w:val="20"/>
        </w:rPr>
        <w:t>MINE SAFETY DISCLOSURES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75260"/>
                <wp:effectExtent l="0" t="0" r="0" b="0"/>
                <wp:wrapNone/>
                <wp:docPr id="63" name="Frame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Q3 </w:t>
                            </w:r>
                            <w:r>
                              <w:rPr>
                                <w:rFonts w:ascii="Times New Roman;serif" w:hAnsi="Times New Roman;serif"/>
                                <w:b w:val="false"/>
                                <w:color w:val="000000"/>
                                <w:sz w:val="20"/>
                              </w:rPr>
                              <w:t>2025</w:t>
                            </w:r>
                            <w:r>
                              <w:rPr>
                                <w:color w:val="000000"/>
                              </w:rPr>
                              <w:t xml:space="preserve"> </w:t>
                            </w:r>
                            <w:r>
                              <w:rPr>
                                <w:rFonts w:ascii="Times New Roman;serif" w:hAnsi="Times New Roman;serif"/>
                                <w:b w:val="false"/>
                                <w:color w:val="000000"/>
                                <w:sz w:val="19"/>
                              </w:rPr>
                              <w:t>Form 10-Q | 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Q3 </w:t>
                      </w:r>
                      <w:r>
                        <w:rPr>
                          <w:rFonts w:ascii="Times New Roman;serif" w:hAnsi="Times New Roman;serif"/>
                          <w:b w:val="false"/>
                          <w:color w:val="000000"/>
                          <w:sz w:val="20"/>
                        </w:rPr>
                        <w:t>2025</w:t>
                      </w:r>
                      <w:r>
                        <w:rPr>
                          <w:color w:val="000000"/>
                        </w:rPr>
                        <w:t xml:space="preserve"> </w:t>
                      </w:r>
                      <w:r>
                        <w:rPr>
                          <w:rFonts w:ascii="Times New Roman;serif" w:hAnsi="Times New Roman;serif"/>
                          <w:b w:val="false"/>
                          <w:color w:val="000000"/>
                          <w:sz w:val="19"/>
                        </w:rPr>
                        <w:t>Form 10-Q | 60</w:t>
                      </w:r>
                    </w:p>
                  </w:txbxContent>
                </v:textbox>
                <w10:wrap type="none"/>
              </v:rect>
            </w:pict>
          </mc:Fallback>
        </mc:AlternateContent>
      </w:r>
    </w:p>
    <w:p>
      <w:pPr>
        <w:pStyle w:val="TextBody"/>
        <w:bidi w:val="0"/>
        <w:spacing w:lineRule="auto" w:line="288" w:before="0" w:after="0"/>
        <w:jc w:val="left"/>
        <w:rPr/>
      </w:pPr>
      <w:hyperlink w:anchor="i004be9cfd92c48c78448e0b03d16957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pPr>
      <w:r>
        <w:rPr>
          <w:rFonts w:ascii="Times New Roman;serif" w:hAnsi="Times New Roman;serif"/>
          <w:b/>
          <w:color w:val="000000"/>
          <w:sz w:val="20"/>
        </w:rPr>
        <w:t xml:space="preserve">Item 5. </w:t>
      </w:r>
      <w:r>
        <w:rPr>
          <w:rFonts w:ascii="Times New Roman;serif" w:hAnsi="Times New Roman;serif"/>
          <w:b/>
          <w:i/>
          <w:color w:val="000000"/>
          <w:sz w:val="20"/>
        </w:rPr>
        <w:t>OTHER INFORMATION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Rule 10b5-1 Trading Plans</w:t>
      </w:r>
    </w:p>
    <w:p>
      <w:pPr>
        <w:pStyle w:val="TextBody"/>
        <w:bidi w:val="0"/>
        <w:spacing w:lineRule="auto" w:line="288" w:before="16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shows the “Rule 10b5-1 trading arrangements” and “non-Rule 10b5-1 trading arrangements” (as each term is defined in Item 408(a) of Regulation S-K) adopted by our directors and executive officers during the quarter ended September 30, 2025. No trading arrangements were terminated by our directors and executive officers during the quarter ended September 30, 2025.</w:t>
      </w:r>
    </w:p>
    <w:tbl>
      <w:tblPr>
        <w:tblW w:w="10205" w:type="dxa"/>
        <w:jc w:val="left"/>
        <w:tblInd w:w="0" w:type="dxa"/>
        <w:tblLayout w:type="fixed"/>
        <w:tblCellMar>
          <w:top w:w="28" w:type="dxa"/>
          <w:left w:w="28" w:type="dxa"/>
          <w:bottom w:w="28" w:type="dxa"/>
          <w:right w:w="28" w:type="dxa"/>
        </w:tblCellMar>
      </w:tblPr>
      <w:tblGrid>
        <w:gridCol w:w="1044"/>
        <w:gridCol w:w="844"/>
        <w:gridCol w:w="776"/>
        <w:gridCol w:w="109"/>
        <w:gridCol w:w="109"/>
        <w:gridCol w:w="109"/>
        <w:gridCol w:w="205"/>
        <w:gridCol w:w="205"/>
        <w:gridCol w:w="206"/>
        <w:gridCol w:w="109"/>
        <w:gridCol w:w="109"/>
        <w:gridCol w:w="109"/>
        <w:gridCol w:w="259"/>
        <w:gridCol w:w="259"/>
        <w:gridCol w:w="265"/>
        <w:gridCol w:w="109"/>
        <w:gridCol w:w="109"/>
        <w:gridCol w:w="109"/>
        <w:gridCol w:w="223"/>
        <w:gridCol w:w="223"/>
        <w:gridCol w:w="199"/>
        <w:gridCol w:w="170"/>
        <w:gridCol w:w="170"/>
        <w:gridCol w:w="170"/>
        <w:gridCol w:w="280"/>
        <w:gridCol w:w="280"/>
        <w:gridCol w:w="296"/>
        <w:gridCol w:w="109"/>
        <w:gridCol w:w="109"/>
        <w:gridCol w:w="109"/>
        <w:gridCol w:w="550"/>
        <w:gridCol w:w="486"/>
        <w:gridCol w:w="460"/>
        <w:gridCol w:w="109"/>
        <w:gridCol w:w="109"/>
        <w:gridCol w:w="109"/>
        <w:gridCol w:w="289"/>
        <w:gridCol w:w="289"/>
        <w:gridCol w:w="422"/>
      </w:tblGrid>
      <w:tr>
        <w:trPr/>
        <w:tc>
          <w:tcPr>
            <w:tcW w:w="1044"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r>
      <w:tr>
        <w:trPr/>
        <w:tc>
          <w:tcPr>
            <w:tcW w:w="2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Trading Arrangement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Name and Position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Rule</w:t>
              <w:br/>
              <w:t>10b5-1*</w:t>
            </w:r>
          </w:p>
        </w:tc>
        <w:tc>
          <w:tcPr>
            <w:tcW w:w="5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Non-Rule</w:t>
              <w:br/>
              <w:t>10b5-1**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Number of</w:t>
              <w:br/>
              <w:t>Shares to be Sold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Expiration</w:t>
              <w:br/>
              <w:t>Date</w:t>
            </w:r>
          </w:p>
        </w:tc>
      </w:tr>
      <w:tr>
        <w:trPr/>
        <w:tc>
          <w:tcPr>
            <w:tcW w:w="26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Jonathan Slonin</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Chief Medical Officer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Adopt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8/12/2025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24"/>
              </w:rPr>
            </w:pPr>
            <w:r>
              <w:rPr>
                <w:rFonts w:ascii="Wingdings;sans-serif" w:hAnsi="Wingdings;sans-serif"/>
                <w:b w:val="false"/>
                <w:color w:val="000000"/>
                <w:sz w:val="24"/>
              </w:rPr>
              <w:t>x</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8/28/2026</w:t>
            </w:r>
          </w:p>
        </w:tc>
      </w:tr>
      <w:tr>
        <w:trPr/>
        <w:tc>
          <w:tcPr>
            <w:tcW w:w="26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Kristen Williams</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Chief Administrative Officer and Secretary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Adopt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9/10/2025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24"/>
              </w:rPr>
            </w:pPr>
            <w:r>
              <w:rPr>
                <w:rFonts w:ascii="Wingdings;sans-serif" w:hAnsi="Wingdings;sans-serif"/>
                <w:b w:val="false"/>
                <w:color w:val="000000"/>
                <w:sz w:val="24"/>
              </w:rPr>
              <w:t>x</w:t>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 xml:space="preserve">To Be Determined </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6/5/2026</w:t>
            </w:r>
          </w:p>
        </w:tc>
      </w:tr>
      <w:tr>
        <w:trPr/>
        <w:tc>
          <w:tcPr>
            <w:tcW w:w="26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5"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7"/>
        </w:rPr>
      </w:pPr>
      <w:r>
        <w:rPr>
          <w:rFonts w:ascii="Times New Roman;serif" w:hAnsi="Times New Roman;serif"/>
          <w:b w:val="false"/>
          <w:color w:val="000000"/>
          <w:sz w:val="17"/>
        </w:rPr>
        <w:t>* Intended to satisfy the affirmative defense of Rule 10b5-1(c).</w:t>
      </w:r>
    </w:p>
    <w:p>
      <w:pPr>
        <w:pStyle w:val="TextBody"/>
        <w:bidi w:val="0"/>
        <w:spacing w:lineRule="auto" w:line="288" w:before="0" w:after="0"/>
        <w:jc w:val="left"/>
        <w:rPr>
          <w:rFonts w:ascii="Times New Roman;serif" w:hAnsi="Times New Roman;serif"/>
          <w:b w:val="false"/>
          <w:color w:val="000000"/>
          <w:sz w:val="17"/>
        </w:rPr>
      </w:pPr>
      <w:r>
        <w:rPr>
          <w:rFonts w:ascii="Times New Roman;serif" w:hAnsi="Times New Roman;serif"/>
          <w:b w:val="false"/>
          <w:color w:val="000000"/>
          <w:sz w:val="17"/>
        </w:rPr>
        <w:t>** Not intended to satisfy the affirmative defense of Rule 10b5-1(c).</w:t>
      </w:r>
    </w:p>
    <w:p>
      <w:pPr>
        <w:pStyle w:val="TextBody"/>
        <w:bidi w:val="0"/>
        <w:spacing w:before="0" w:after="0"/>
        <w:jc w:val="left"/>
        <w:rPr/>
      </w:pPr>
      <w:r>
        <w:rPr/>
      </w:r>
    </w:p>
    <w:p>
      <w:pPr>
        <w:pStyle w:val="TextBody"/>
        <w:bidi w:val="0"/>
        <w:spacing w:lineRule="auto" w:line="288" w:before="0" w:after="120"/>
        <w:jc w:val="left"/>
        <w:rPr>
          <w:rFonts w:ascii="Times New Roman;serif" w:hAnsi="Times New Roman;serif"/>
          <w:b w:val="false"/>
          <w:color w:val="000000"/>
          <w:sz w:val="17"/>
        </w:rPr>
      </w:pPr>
      <w:r>
        <w:rPr>
          <w:rFonts w:ascii="Times New Roman;serif" w:hAnsi="Times New Roman;serif"/>
          <w:b w:val="false"/>
          <w:color w:val="000000"/>
          <w:sz w:val="17"/>
        </w:rPr>
        <w:t>(1) The aggregate number of shares to be sold pursuant to the trading arrangements listed above are dependent on, among other things, sale prices under the trading arrangements and the amount of tax withholding required upon the vesting of restricted stock units, and, therefore, is indeterminable at this time.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75260"/>
                <wp:effectExtent l="0" t="0" r="0" b="0"/>
                <wp:wrapNone/>
                <wp:docPr id="64" name="Frame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Times New Roman;serif" w:hAnsi="Times New Roman;serif"/>
                                <w:b w:val="false"/>
                                <w:color w:val="000000"/>
                                <w:sz w:val="19"/>
                              </w:rPr>
                              <w:t xml:space="preserve">Pacira BioSciences, Inc. | Q3 </w:t>
                            </w:r>
                            <w:r>
                              <w:rPr>
                                <w:rFonts w:ascii="Times New Roman;serif" w:hAnsi="Times New Roman;serif"/>
                                <w:b w:val="false"/>
                                <w:color w:val="000000"/>
                                <w:sz w:val="20"/>
                              </w:rPr>
                              <w:t>2025</w:t>
                            </w:r>
                            <w:r>
                              <w:rPr>
                                <w:color w:val="000000"/>
                              </w:rPr>
                              <w:t xml:space="preserve"> </w:t>
                            </w:r>
                            <w:r>
                              <w:rPr>
                                <w:rFonts w:ascii="Times New Roman;serif" w:hAnsi="Times New Roman;serif"/>
                                <w:b w:val="false"/>
                                <w:color w:val="000000"/>
                                <w:sz w:val="19"/>
                              </w:rPr>
                              <w:t>Form 10-Q | 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Times New Roman;serif" w:hAnsi="Times New Roman;serif"/>
                          <w:b w:val="false"/>
                          <w:color w:val="000000"/>
                          <w:sz w:val="19"/>
                        </w:rPr>
                        <w:t xml:space="preserve">Pacira BioSciences, Inc. | Q3 </w:t>
                      </w:r>
                      <w:r>
                        <w:rPr>
                          <w:rFonts w:ascii="Times New Roman;serif" w:hAnsi="Times New Roman;serif"/>
                          <w:b w:val="false"/>
                          <w:color w:val="000000"/>
                          <w:sz w:val="20"/>
                        </w:rPr>
                        <w:t>2025</w:t>
                      </w:r>
                      <w:r>
                        <w:rPr>
                          <w:color w:val="000000"/>
                        </w:rPr>
                        <w:t xml:space="preserve"> </w:t>
                      </w:r>
                      <w:r>
                        <w:rPr>
                          <w:rFonts w:ascii="Times New Roman;serif" w:hAnsi="Times New Roman;serif"/>
                          <w:b w:val="false"/>
                          <w:color w:val="000000"/>
                          <w:sz w:val="19"/>
                        </w:rPr>
                        <w:t>Form 10-Q | 61</w:t>
                      </w:r>
                    </w:p>
                  </w:txbxContent>
                </v:textbox>
                <w10:wrap type="none"/>
              </v:rect>
            </w:pict>
          </mc:Fallback>
        </mc:AlternateContent>
      </w:r>
    </w:p>
    <w:p>
      <w:pPr>
        <w:pStyle w:val="TextBody"/>
        <w:bidi w:val="0"/>
        <w:spacing w:lineRule="auto" w:line="288" w:before="0" w:after="0"/>
        <w:jc w:val="left"/>
        <w:rPr/>
      </w:pPr>
      <w:hyperlink w:anchor="i004be9cfd92c48c78448e0b03d16957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pPr>
      <w:r>
        <w:rPr>
          <w:rFonts w:ascii="Times New Roman;serif" w:hAnsi="Times New Roman;serif"/>
          <w:b/>
          <w:color w:val="000000"/>
          <w:sz w:val="20"/>
        </w:rPr>
        <w:t xml:space="preserve">Item 6. </w:t>
      </w:r>
      <w:r>
        <w:rPr>
          <w:rFonts w:ascii="Times New Roman;serif" w:hAnsi="Times New Roman;serif"/>
          <w:b/>
          <w:i/>
          <w:color w:val="000000"/>
          <w:sz w:val="20"/>
        </w:rPr>
        <w:t>EXHIBITS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exhibits listed below are filed or furnished as part of this report.</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33"/>
        <w:gridCol w:w="292"/>
        <w:gridCol w:w="293"/>
        <w:gridCol w:w="109"/>
        <w:gridCol w:w="109"/>
        <w:gridCol w:w="109"/>
        <w:gridCol w:w="2673"/>
        <w:gridCol w:w="2585"/>
        <w:gridCol w:w="3702"/>
      </w:tblGrid>
      <w:tr>
        <w:trPr/>
        <w:tc>
          <w:tcPr>
            <w:tcW w:w="333"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3" w:type="dxa"/>
            <w:tcBorders/>
            <w:vAlign w:val="center"/>
          </w:tcPr>
          <w:p>
            <w:pPr>
              <w:pStyle w:val="TableContents"/>
              <w:bidi w:val="0"/>
              <w:spacing w:before="0" w:after="283"/>
              <w:jc w:val="left"/>
              <w:rPr>
                <w:sz w:val="4"/>
                <w:szCs w:val="4"/>
              </w:rPr>
            </w:pPr>
            <w:r>
              <w:rPr>
                <w:sz w:val="4"/>
                <w:szCs w:val="4"/>
              </w:rPr>
            </w:r>
          </w:p>
        </w:tc>
        <w:tc>
          <w:tcPr>
            <w:tcW w:w="2585" w:type="dxa"/>
            <w:tcBorders/>
            <w:vAlign w:val="center"/>
          </w:tcPr>
          <w:p>
            <w:pPr>
              <w:pStyle w:val="TableContents"/>
              <w:bidi w:val="0"/>
              <w:spacing w:before="0" w:after="283"/>
              <w:jc w:val="left"/>
              <w:rPr>
                <w:sz w:val="4"/>
                <w:szCs w:val="4"/>
              </w:rPr>
            </w:pPr>
            <w:r>
              <w:rPr>
                <w:sz w:val="4"/>
                <w:szCs w:val="4"/>
              </w:rPr>
            </w:r>
          </w:p>
        </w:tc>
        <w:tc>
          <w:tcPr>
            <w:tcW w:w="3702" w:type="dxa"/>
            <w:tcBorders/>
            <w:vAlign w:val="center"/>
          </w:tcPr>
          <w:p>
            <w:pPr>
              <w:pStyle w:val="TableContents"/>
              <w:bidi w:val="0"/>
              <w:spacing w:before="0" w:after="283"/>
              <w:jc w:val="left"/>
              <w:rPr>
                <w:sz w:val="4"/>
                <w:szCs w:val="4"/>
              </w:rPr>
            </w:pPr>
            <w:r>
              <w:rPr>
                <w:sz w:val="4"/>
                <w:szCs w:val="4"/>
              </w:rPr>
            </w:r>
          </w:p>
        </w:tc>
      </w:tr>
      <w:tr>
        <w:trPr/>
        <w:tc>
          <w:tcPr>
            <w:tcW w:w="9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Description</w:t>
            </w:r>
          </w:p>
        </w:tc>
      </w:tr>
      <w:tr>
        <w:trPr/>
        <w:tc>
          <w:tcPr>
            <w:tcW w:w="9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9">
              <w:r>
                <w:rPr>
                  <w:rStyle w:val="InternetLink"/>
                  <w:rFonts w:ascii="Times New Roman;serif" w:hAnsi="Times New Roman;serif"/>
                  <w:b w:val="false"/>
                  <w:color w:val="0000FF"/>
                  <w:sz w:val="20"/>
                  <w:u w:val="single"/>
                </w:rPr>
                <w:t>10.1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Credit Agreement, dated as of July 3, 2025, by and among Pacira BioSciences, Inc., the lenders from time to time party thereto and Wells Fargo Bank, National Association, as administrative agent, swingline lender and an issuing bank.(1) ##</w:t>
            </w:r>
          </w:p>
        </w:tc>
      </w:tr>
      <w:tr>
        <w:trPr/>
        <w:tc>
          <w:tcPr>
            <w:tcW w:w="9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pcrx-09302025xex311.htm">
              <w:r>
                <w:rPr>
                  <w:rStyle w:val="InternetLink"/>
                  <w:rFonts w:ascii="Times New Roman;serif" w:hAnsi="Times New Roman;serif"/>
                  <w:b w:val="false"/>
                  <w:color w:val="0000FF"/>
                  <w:sz w:val="20"/>
                  <w:u w:val="single"/>
                </w:rPr>
                <w:t>31.1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Certification of Chief Executive Officer pursuant to Rule 13a-14(a) and 15d-14(a), as amended.*</w:t>
            </w:r>
          </w:p>
        </w:tc>
      </w:tr>
      <w:tr>
        <w:trPr/>
        <w:tc>
          <w:tcPr>
            <w:tcW w:w="9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pcrx-09302025xex312.htm">
              <w:r>
                <w:rPr>
                  <w:rStyle w:val="InternetLink"/>
                  <w:rFonts w:ascii="Times New Roman;serif" w:hAnsi="Times New Roman;serif"/>
                  <w:b w:val="false"/>
                  <w:color w:val="0000FF"/>
                  <w:sz w:val="20"/>
                  <w:u w:val="single"/>
                </w:rPr>
                <w:t>31.2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Certification of Chief Financial Officer pursuant to Rule 13a-14(a) and 15d-14(a), as amended.*</w:t>
            </w:r>
          </w:p>
        </w:tc>
      </w:tr>
      <w:tr>
        <w:trPr/>
        <w:tc>
          <w:tcPr>
            <w:tcW w:w="9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pcrx-09302025xex321.htm">
              <w:r>
                <w:rPr>
                  <w:rStyle w:val="InternetLink"/>
                  <w:rFonts w:ascii="Times New Roman;serif" w:hAnsi="Times New Roman;serif"/>
                  <w:b w:val="false"/>
                  <w:color w:val="0000FF"/>
                  <w:sz w:val="20"/>
                  <w:u w:val="single"/>
                </w:rPr>
                <w:t>32.1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Certification of Chief Executive Officer and Chief Financial Officer pursuant to 18 U.S.C. Section 1350, as adopted pursuant to Section 906 of the Sarbanes-Oxley Act of 2002.**</w:t>
            </w:r>
          </w:p>
        </w:tc>
      </w:tr>
      <w:tr>
        <w:trPr/>
        <w:tc>
          <w:tcPr>
            <w:tcW w:w="9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materials from the Quarterly Report on Form 10-Q of Pacira BioSciences, Inc. for the quarter ended September 30, 2025, formatted in iXBRL (Inline eXtensible Business Reporting Language): (i) the Condensed Consolidated Balance Sheets; (ii) the Condensed Consolidated Statements of Operations; (iii) the Condensed Consolidated Statements of Comprehensive Income (Loss); (iv) the Condensed Consolidated Statements of Stockholders’ Equity; (v) the Condensed Consolidated Statements of Cash Flows; and (vi) the Condensed Notes to Consolidated Financial Statements.*</w:t>
            </w:r>
          </w:p>
        </w:tc>
      </w:tr>
      <w:tr>
        <w:trPr/>
        <w:tc>
          <w:tcPr>
            <w:tcW w:w="9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38"/>
        <w:gridCol w:w="121"/>
        <w:gridCol w:w="121"/>
        <w:gridCol w:w="109"/>
        <w:gridCol w:w="109"/>
        <w:gridCol w:w="109"/>
        <w:gridCol w:w="2910"/>
        <w:gridCol w:w="2777"/>
        <w:gridCol w:w="3811"/>
      </w:tblGrid>
      <w:tr>
        <w:trPr/>
        <w:tc>
          <w:tcPr>
            <w:tcW w:w="13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0" w:type="dxa"/>
            <w:tcBorders/>
            <w:vAlign w:val="center"/>
          </w:tcPr>
          <w:p>
            <w:pPr>
              <w:pStyle w:val="TableContents"/>
              <w:bidi w:val="0"/>
              <w:spacing w:before="0" w:after="283"/>
              <w:jc w:val="left"/>
              <w:rPr>
                <w:sz w:val="4"/>
                <w:szCs w:val="4"/>
              </w:rPr>
            </w:pPr>
            <w:r>
              <w:rPr>
                <w:sz w:val="4"/>
                <w:szCs w:val="4"/>
              </w:rPr>
            </w:r>
          </w:p>
        </w:tc>
        <w:tc>
          <w:tcPr>
            <w:tcW w:w="2777" w:type="dxa"/>
            <w:tcBorders/>
            <w:vAlign w:val="center"/>
          </w:tcPr>
          <w:p>
            <w:pPr>
              <w:pStyle w:val="TableContents"/>
              <w:bidi w:val="0"/>
              <w:spacing w:before="0" w:after="283"/>
              <w:jc w:val="left"/>
              <w:rPr>
                <w:sz w:val="4"/>
                <w:szCs w:val="4"/>
              </w:rPr>
            </w:pPr>
            <w:r>
              <w:rPr>
                <w:sz w:val="4"/>
                <w:szCs w:val="4"/>
              </w:rPr>
            </w:r>
          </w:p>
        </w:tc>
        <w:tc>
          <w:tcPr>
            <w:tcW w:w="3811" w:type="dxa"/>
            <w:tcBorders/>
            <w:vAlign w:val="center"/>
          </w:tcPr>
          <w:p>
            <w:pPr>
              <w:pStyle w:val="TableContents"/>
              <w:bidi w:val="0"/>
              <w:spacing w:before="0" w:after="283"/>
              <w:jc w:val="left"/>
              <w:rPr>
                <w:sz w:val="4"/>
                <w:szCs w:val="4"/>
              </w:rPr>
            </w:pPr>
            <w:r>
              <w:rPr>
                <w:sz w:val="4"/>
                <w:szCs w:val="4"/>
              </w:rPr>
            </w:r>
          </w:p>
        </w:tc>
      </w:tr>
      <w:tr>
        <w:trPr/>
        <w:tc>
          <w:tcPr>
            <w:tcW w:w="3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Filed herewith.</w:t>
            </w:r>
          </w:p>
        </w:tc>
      </w:tr>
      <w:tr>
        <w:trPr/>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Furnished herewith.</w:t>
            </w:r>
          </w:p>
        </w:tc>
      </w:tr>
      <w:tr>
        <w:trPr/>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Denotes management contract or compensatory plan or arrangement.</w:t>
            </w:r>
          </w:p>
        </w:tc>
      </w:tr>
      <w:tr>
        <w:trPr/>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98" w:type="dxa"/>
            <w:gridSpan w:val="3"/>
            <w:tcBorders/>
            <w:vAlign w:val="center"/>
          </w:tcPr>
          <w:p>
            <w:pPr>
              <w:pStyle w:val="TableContents"/>
              <w:bidi w:val="0"/>
              <w:spacing w:before="0" w:after="283"/>
              <w:jc w:val="left"/>
              <w:rPr>
                <w:sz w:val="4"/>
                <w:szCs w:val="4"/>
              </w:rPr>
            </w:pPr>
            <w:r>
              <w:rPr>
                <w:sz w:val="4"/>
                <w:szCs w:val="4"/>
              </w:rPr>
            </w:r>
          </w:p>
        </w:tc>
      </w:tr>
      <w:tr>
        <w:trPr/>
        <w:tc>
          <w:tcPr>
            <w:tcW w:w="3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98" w:type="dxa"/>
            <w:gridSpan w:val="3"/>
            <w:tcBorders/>
            <w:vAlign w:val="center"/>
          </w:tcPr>
          <w:p>
            <w:pPr>
              <w:pStyle w:val="TableContents"/>
              <w:bidi w:val="0"/>
              <w:spacing w:before="0" w:after="283"/>
              <w:jc w:val="left"/>
              <w:rPr>
                <w:sz w:val="4"/>
                <w:szCs w:val="4"/>
              </w:rPr>
            </w:pPr>
            <w:r>
              <w:rPr>
                <w:sz w:val="4"/>
                <w:szCs w:val="4"/>
              </w:rPr>
            </w:r>
          </w:p>
        </w:tc>
      </w:tr>
      <w:tr>
        <w:trPr/>
        <w:tc>
          <w:tcPr>
            <w:tcW w:w="3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8" w:type="dxa"/>
            <w:gridSpan w:val="3"/>
            <w:tcBorders/>
            <w:tcMar>
              <w:top w:w="0" w:type="dxa"/>
              <w:left w:w="0" w:type="dxa"/>
              <w:bottom w:w="0" w:type="dxa"/>
              <w:right w:w="0" w:type="dxa"/>
            </w:tcMar>
            <w:vAlign w:val="center"/>
          </w:tcPr>
          <w:p>
            <w:pPr>
              <w:pStyle w:val="TableContents"/>
              <w:bidi w:val="0"/>
              <w:spacing w:lineRule="auto" w:line="240" w:before="160" w:after="283"/>
              <w:jc w:val="left"/>
              <w:rPr>
                <w:rFonts w:ascii="Times New Roman;serif" w:hAnsi="Times New Roman;serif"/>
                <w:b w:val="false"/>
                <w:color w:val="000000"/>
                <w:sz w:val="20"/>
              </w:rPr>
            </w:pPr>
            <w:r>
              <w:rPr>
                <w:rFonts w:ascii="Times New Roman;serif" w:hAnsi="Times New Roman;serif"/>
                <w:b w:val="false"/>
                <w:color w:val="000000"/>
                <w:sz w:val="20"/>
              </w:rPr>
              <w:t>Schedules and exhibits have been omitted pursuant to Item 601(a)(5) of Regulation S-K. The Company hereby undertakes to supplementally furnish copies of any omitted schedules and exhibits to the Securities and Exchange Commission upon request.</w:t>
            </w:r>
          </w:p>
        </w:tc>
      </w:tr>
      <w:tr>
        <w:trPr/>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Incorporated by reference to Exhibit 10.1 to the Registrant’s Current Report on Form 8-K, filed on July 7, 2025.</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75260"/>
                <wp:effectExtent l="0" t="0" r="0" b="0"/>
                <wp:wrapNone/>
                <wp:docPr id="65" name="Frame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Times New Roman;serif" w:hAnsi="Times New Roman;serif"/>
                                <w:b w:val="false"/>
                                <w:color w:val="000000"/>
                                <w:sz w:val="19"/>
                              </w:rPr>
                              <w:t xml:space="preserve">Pacira BioSciences, Inc. | Q3 </w:t>
                            </w:r>
                            <w:r>
                              <w:rPr>
                                <w:rFonts w:ascii="Times New Roman;serif" w:hAnsi="Times New Roman;serif"/>
                                <w:b w:val="false"/>
                                <w:color w:val="000000"/>
                                <w:sz w:val="20"/>
                              </w:rPr>
                              <w:t>2025</w:t>
                            </w:r>
                            <w:r>
                              <w:rPr>
                                <w:color w:val="000000"/>
                              </w:rPr>
                              <w:t xml:space="preserve"> </w:t>
                            </w:r>
                            <w:r>
                              <w:rPr>
                                <w:rFonts w:ascii="Times New Roman;serif" w:hAnsi="Times New Roman;serif"/>
                                <w:b w:val="false"/>
                                <w:color w:val="000000"/>
                                <w:sz w:val="19"/>
                              </w:rPr>
                              <w:t>Form 10-Q | 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Times New Roman;serif" w:hAnsi="Times New Roman;serif"/>
                          <w:b w:val="false"/>
                          <w:color w:val="000000"/>
                          <w:sz w:val="19"/>
                        </w:rPr>
                        <w:t xml:space="preserve">Pacira BioSciences, Inc. | Q3 </w:t>
                      </w:r>
                      <w:r>
                        <w:rPr>
                          <w:rFonts w:ascii="Times New Roman;serif" w:hAnsi="Times New Roman;serif"/>
                          <w:b w:val="false"/>
                          <w:color w:val="000000"/>
                          <w:sz w:val="20"/>
                        </w:rPr>
                        <w:t>2025</w:t>
                      </w:r>
                      <w:r>
                        <w:rPr>
                          <w:color w:val="000000"/>
                        </w:rPr>
                        <w:t xml:space="preserve"> </w:t>
                      </w:r>
                      <w:r>
                        <w:rPr>
                          <w:rFonts w:ascii="Times New Roman;serif" w:hAnsi="Times New Roman;serif"/>
                          <w:b w:val="false"/>
                          <w:color w:val="000000"/>
                          <w:sz w:val="19"/>
                        </w:rPr>
                        <w:t>Form 10-Q | 62</w:t>
                      </w:r>
                    </w:p>
                  </w:txbxContent>
                </v:textbox>
                <w10:wrap type="none"/>
              </v:rect>
            </w:pict>
          </mc:Fallback>
        </mc:AlternateContent>
      </w:r>
    </w:p>
    <w:p>
      <w:pPr>
        <w:pStyle w:val="TextBody"/>
        <w:bidi w:val="0"/>
        <w:spacing w:lineRule="auto" w:line="288" w:before="0" w:after="0"/>
        <w:jc w:val="left"/>
        <w:rPr/>
      </w:pPr>
      <w:hyperlink w:anchor="i004be9cfd92c48c78448e0b03d16957e_7">
        <w:r>
          <w:rPr>
            <w:rStyle w:val="InternetLink"/>
            <w:rFonts w:ascii="Times New Roman;serif" w:hAnsi="Times New Roman;serif"/>
            <w:b w:val="false"/>
            <w:color w:val="0000FF"/>
            <w:sz w:val="20"/>
            <w:u w:val="single"/>
          </w:rPr>
          <w:t>Table of Contents</w:t>
        </w:r>
      </w:hyperlink>
    </w:p>
    <w:tbl>
      <w:tblPr>
        <w:tblW w:w="1411" w:type="dxa"/>
        <w:jc w:val="center"/>
        <w:tblInd w:w="0" w:type="dxa"/>
        <w:tblLayout w:type="fixed"/>
        <w:tblCellMar>
          <w:top w:w="28" w:type="dxa"/>
          <w:left w:w="28" w:type="dxa"/>
          <w:bottom w:w="28" w:type="dxa"/>
          <w:right w:w="28" w:type="dxa"/>
        </w:tblCellMar>
      </w:tblPr>
      <w:tblGrid>
        <w:gridCol w:w="452"/>
        <w:gridCol w:w="397"/>
        <w:gridCol w:w="562"/>
      </w:tblGrid>
      <w:tr>
        <w:trPr/>
        <w:tc>
          <w:tcPr>
            <w:tcW w:w="452"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r>
      <w:tr>
        <w:trPr/>
        <w:tc>
          <w:tcPr>
            <w:tcW w:w="1411" w:type="dxa"/>
            <w:gridSpan w:val="3"/>
            <w:tcBorders/>
            <w:tcMar>
              <w:top w:w="0" w:type="dxa"/>
              <w:left w:w="0" w:type="dxa"/>
              <w:bottom w:w="0" w:type="dxa"/>
              <w:right w:w="0" w:type="dxa"/>
            </w:tcMar>
            <w:vAlign w:val="center"/>
          </w:tcPr>
          <w:p>
            <w:pPr>
              <w:pStyle w:val="TableContents"/>
              <w:bidi w:val="0"/>
              <w:spacing w:lineRule="auto" w:line="240" w:before="160" w:after="160"/>
              <w:jc w:val="center"/>
              <w:rPr>
                <w:rFonts w:ascii="Times New Roman;serif" w:hAnsi="Times New Roman;serif"/>
                <w:b/>
                <w:color w:val="000000"/>
                <w:sz w:val="20"/>
              </w:rPr>
            </w:pPr>
            <w:r>
              <w:rPr>
                <w:rFonts w:ascii="Times New Roman;serif" w:hAnsi="Times New Roman;serif"/>
                <w:b/>
                <w:color w:val="000000"/>
                <w:sz w:val="20"/>
              </w:rPr>
              <w:t>SIGNATURES</w:t>
            </w:r>
          </w:p>
        </w:tc>
      </w:tr>
    </w:tbl>
    <w:p>
      <w:pPr>
        <w:pStyle w:val="TextBody"/>
        <w:bidi w:val="0"/>
        <w:spacing w:lineRule="auto" w:line="288" w:before="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Section 13 or 15(d) of the Securities Exchange Act of 1934, the registrant has duly caused this report to be signed on its behalf by the undersigned, thereunto duly authorized.</w:t>
      </w:r>
    </w:p>
    <w:tbl>
      <w:tblPr>
        <w:tblW w:w="6040" w:type="dxa"/>
        <w:jc w:val="left"/>
        <w:tblInd w:w="0" w:type="dxa"/>
        <w:tblLayout w:type="fixed"/>
        <w:tblCellMar>
          <w:top w:w="28" w:type="dxa"/>
          <w:left w:w="28" w:type="dxa"/>
          <w:bottom w:w="28" w:type="dxa"/>
          <w:right w:w="28" w:type="dxa"/>
        </w:tblCellMar>
      </w:tblPr>
      <w:tblGrid>
        <w:gridCol w:w="200"/>
        <w:gridCol w:w="177"/>
        <w:gridCol w:w="178"/>
        <w:gridCol w:w="534"/>
        <w:gridCol w:w="534"/>
        <w:gridCol w:w="536"/>
        <w:gridCol w:w="134"/>
        <w:gridCol w:w="134"/>
        <w:gridCol w:w="136"/>
        <w:gridCol w:w="109"/>
        <w:gridCol w:w="109"/>
        <w:gridCol w:w="109"/>
        <w:gridCol w:w="922"/>
        <w:gridCol w:w="922"/>
        <w:gridCol w:w="1306"/>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PACIRA BIOSCIENCES, INC.</w:t>
              <w:br/>
              <w:t>(REGISTRANT)</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Date:</w:t>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November 6, 2025</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FRANK D. LEE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Frank D. Lee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Chief Executive Officer and Director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Date:</w:t>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November 6, 2025</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SHAWN M. CROSS</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Shawn M. Cross</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Chief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(Principal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75260"/>
                <wp:effectExtent l="0" t="0" r="0" b="0"/>
                <wp:wrapNone/>
                <wp:docPr id="66" name="Frame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Q3 </w:t>
                            </w:r>
                            <w:r>
                              <w:rPr>
                                <w:rFonts w:ascii="Times New Roman;serif" w:hAnsi="Times New Roman;serif"/>
                                <w:b w:val="false"/>
                                <w:color w:val="000000"/>
                                <w:sz w:val="20"/>
                              </w:rPr>
                              <w:t>2025</w:t>
                            </w:r>
                            <w:r>
                              <w:rPr>
                                <w:color w:val="000000"/>
                              </w:rPr>
                              <w:t xml:space="preserve"> </w:t>
                            </w:r>
                            <w:r>
                              <w:rPr>
                                <w:rFonts w:ascii="Times New Roman;serif" w:hAnsi="Times New Roman;serif"/>
                                <w:b w:val="false"/>
                                <w:color w:val="000000"/>
                                <w:sz w:val="19"/>
                              </w:rPr>
                              <w:t>Form 10-Q | 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Q3 </w:t>
                      </w:r>
                      <w:r>
                        <w:rPr>
                          <w:rFonts w:ascii="Times New Roman;serif" w:hAnsi="Times New Roman;serif"/>
                          <w:b w:val="false"/>
                          <w:color w:val="000000"/>
                          <w:sz w:val="20"/>
                        </w:rPr>
                        <w:t>2025</w:t>
                      </w:r>
                      <w:r>
                        <w:rPr>
                          <w:color w:val="000000"/>
                        </w:rPr>
                        <w:t xml:space="preserve"> </w:t>
                      </w:r>
                      <w:r>
                        <w:rPr>
                          <w:rFonts w:ascii="Times New Roman;serif" w:hAnsi="Times New Roman;serif"/>
                          <w:b w:val="false"/>
                          <w:color w:val="000000"/>
                          <w:sz w:val="19"/>
                        </w:rPr>
                        <w:t>Form 10-Q | 63</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Frank D. Lee, certify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63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Pacira BioSciences, Inc. (the “Registrant”);</w:t>
      </w:r>
    </w:p>
    <w:p>
      <w:pPr>
        <w:pStyle w:val="TextBody"/>
        <w:bidi w:val="0"/>
        <w:spacing w:before="0" w:after="0"/>
        <w:jc w:val="left"/>
        <w:rPr/>
      </w:pPr>
      <w:r>
        <w:rPr/>
      </w:r>
    </w:p>
    <w:p>
      <w:pPr>
        <w:pStyle w:val="TextBody"/>
        <w:bidi w:val="0"/>
        <w:spacing w:lineRule="auto" w:line="288" w:before="0" w:after="0"/>
        <w:ind w:left="0" w:right="0" w:hanging="63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88" w:before="0" w:after="0"/>
        <w:ind w:left="0" w:right="0" w:hanging="63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288" w:before="0" w:after="0"/>
        <w:ind w:left="0" w:right="0" w:hanging="63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88" w:before="0" w:after="0"/>
        <w:ind w:left="0" w:right="0" w:hanging="63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lineRule="auto" w:line="288" w:before="0" w:after="0"/>
        <w:ind w:left="0" w:right="0" w:hanging="63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0"/>
        <w:ind w:left="0" w:right="0" w:hanging="63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88" w:before="0" w:after="0"/>
        <w:ind w:left="0" w:right="0" w:hanging="63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0"/>
        <w:ind w:left="0" w:right="0" w:hanging="63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88" w:before="0" w:after="0"/>
        <w:ind w:left="0" w:right="0" w:hanging="63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288" w:before="0" w:after="0"/>
        <w:ind w:left="0" w:right="0" w:hanging="63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lineRule="auto" w:line="288" w:before="0" w:after="0"/>
        <w:jc w:val="center"/>
        <w:rPr>
          <w:color w:val="000000"/>
        </w:rPr>
      </w:pPr>
      <w:r>
        <w:rPr>
          <w:color w:val="000000"/>
        </w:rPr>
        <w:t> </w:t>
      </w:r>
    </w:p>
    <w:tbl>
      <w:tblPr>
        <w:tblW w:w="5353" w:type="dxa"/>
        <w:jc w:val="center"/>
        <w:tblInd w:w="0" w:type="dxa"/>
        <w:tblLayout w:type="fixed"/>
        <w:tblCellMar>
          <w:top w:w="28" w:type="dxa"/>
          <w:left w:w="28" w:type="dxa"/>
          <w:bottom w:w="28" w:type="dxa"/>
          <w:right w:w="28" w:type="dxa"/>
        </w:tblCellMar>
      </w:tblPr>
      <w:tblGrid>
        <w:gridCol w:w="216"/>
        <w:gridCol w:w="191"/>
        <w:gridCol w:w="192"/>
        <w:gridCol w:w="534"/>
        <w:gridCol w:w="534"/>
        <w:gridCol w:w="536"/>
        <w:gridCol w:w="918"/>
        <w:gridCol w:w="918"/>
        <w:gridCol w:w="1314"/>
      </w:tblGrid>
      <w:tr>
        <w:trPr/>
        <w:tc>
          <w:tcPr>
            <w:tcW w:w="2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w:t>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6, 2025</w:t>
            </w:r>
          </w:p>
        </w:tc>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FRANK D. LEE</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Frank D. Lee</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Chief Executive Officer and Director</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75260"/>
                <wp:effectExtent l="0" t="0" r="0" b="0"/>
                <wp:wrapNone/>
                <wp:docPr id="67" name="Frame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Shawn M. Cross certify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63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Pacira BioSciences, Inc. (the “Registrant”);</w:t>
      </w:r>
    </w:p>
    <w:p>
      <w:pPr>
        <w:pStyle w:val="TextBody"/>
        <w:bidi w:val="0"/>
        <w:spacing w:before="0" w:after="0"/>
        <w:jc w:val="left"/>
        <w:rPr/>
      </w:pPr>
      <w:r>
        <w:rPr/>
      </w:r>
    </w:p>
    <w:p>
      <w:pPr>
        <w:pStyle w:val="TextBody"/>
        <w:bidi w:val="0"/>
        <w:spacing w:lineRule="auto" w:line="288" w:before="0" w:after="0"/>
        <w:ind w:left="0" w:right="0" w:hanging="63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88" w:before="0" w:after="0"/>
        <w:ind w:left="0" w:right="0" w:hanging="63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288" w:before="0" w:after="0"/>
        <w:ind w:left="0" w:right="0" w:hanging="63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88" w:before="0" w:after="0"/>
        <w:ind w:left="0" w:right="0" w:hanging="63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lineRule="auto" w:line="288" w:before="0" w:after="0"/>
        <w:ind w:left="0" w:right="0" w:hanging="63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0"/>
        <w:ind w:left="0" w:right="0" w:hanging="63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88" w:before="0" w:after="0"/>
        <w:ind w:left="0" w:right="0" w:hanging="63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0"/>
        <w:ind w:left="0" w:right="0" w:hanging="63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88" w:before="0" w:after="0"/>
        <w:ind w:left="0" w:right="0" w:hanging="63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288" w:before="0" w:after="0"/>
        <w:ind w:left="0" w:right="0" w:hanging="63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lineRule="auto" w:line="288" w:before="0" w:after="0"/>
        <w:jc w:val="center"/>
        <w:rPr>
          <w:color w:val="000000"/>
        </w:rPr>
      </w:pPr>
      <w:r>
        <w:rPr>
          <w:color w:val="000000"/>
        </w:rPr>
        <w:t> </w:t>
      </w:r>
    </w:p>
    <w:tbl>
      <w:tblPr>
        <w:tblW w:w="4723" w:type="dxa"/>
        <w:jc w:val="center"/>
        <w:tblInd w:w="0" w:type="dxa"/>
        <w:tblLayout w:type="fixed"/>
        <w:tblCellMar>
          <w:top w:w="28" w:type="dxa"/>
          <w:left w:w="28" w:type="dxa"/>
          <w:bottom w:w="28" w:type="dxa"/>
          <w:right w:w="28" w:type="dxa"/>
        </w:tblCellMar>
      </w:tblPr>
      <w:tblGrid>
        <w:gridCol w:w="216"/>
        <w:gridCol w:w="191"/>
        <w:gridCol w:w="192"/>
        <w:gridCol w:w="534"/>
        <w:gridCol w:w="534"/>
        <w:gridCol w:w="536"/>
        <w:gridCol w:w="737"/>
        <w:gridCol w:w="737"/>
        <w:gridCol w:w="1046"/>
      </w:tblGrid>
      <w:tr>
        <w:trPr/>
        <w:tc>
          <w:tcPr>
            <w:tcW w:w="2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w:t>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6, 2025</w:t>
            </w:r>
          </w:p>
        </w:tc>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SHAWN M. CROSS</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Shawn M. Cross</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Chief Financial Officer</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(Principal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75260"/>
                <wp:effectExtent l="0" t="0" r="0" b="0"/>
                <wp:wrapNone/>
                <wp:docPr id="68" name="Frame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CERTIFICATIONS OF THE CHIEF EXECUTIVE OFFICER AND CHIEF FINANCIAL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18 U.S.C. SECTION 1350, 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Pursuant to 18 U.S.C. §1350, as adopted pursuant to Section 906 of the Sarbanes-Oxley Act of 2002, the undersigned certifies that this Quarterly Report on Form 10-Q of Pacira BioSciences, Inc. for the quarter ended September 30, 2025, fully complies with the requirements of Section 13(a) or 15(d) of the Securities Exchange Act of 1934 and that the information contained in this report fairly presents, in all material respects, the financial condition and results of operations of Pacira BioSciences, Inc. at the dates and for the periods indicated.</w:t>
      </w:r>
    </w:p>
    <w:p>
      <w:pPr>
        <w:pStyle w:val="TextBody"/>
        <w:bidi w:val="0"/>
        <w:spacing w:before="0" w:after="0"/>
        <w:jc w:val="left"/>
        <w:rPr/>
      </w:pPr>
      <w:r>
        <w:rPr/>
      </w:r>
    </w:p>
    <w:p>
      <w:pPr>
        <w:pStyle w:val="TextBody"/>
        <w:bidi w:val="0"/>
        <w:spacing w:before="0" w:after="0"/>
        <w:ind w:left="0" w:right="0" w:firstLine="540"/>
        <w:jc w:val="left"/>
        <w:rPr/>
      </w:pPr>
      <w:r>
        <w:rPr/>
      </w:r>
    </w:p>
    <w:p>
      <w:pPr>
        <w:pStyle w:val="TextBody"/>
        <w:bidi w:val="0"/>
        <w:spacing w:lineRule="auto" w:line="288" w:before="0" w:after="0"/>
        <w:jc w:val="center"/>
        <w:rPr>
          <w:color w:val="000000"/>
        </w:rPr>
      </w:pPr>
      <w:r>
        <w:rPr>
          <w:color w:val="000000"/>
        </w:rPr>
        <w:t> </w:t>
      </w:r>
    </w:p>
    <w:tbl>
      <w:tblPr>
        <w:tblW w:w="5353" w:type="dxa"/>
        <w:jc w:val="center"/>
        <w:tblInd w:w="0" w:type="dxa"/>
        <w:tblLayout w:type="fixed"/>
        <w:tblCellMar>
          <w:top w:w="28" w:type="dxa"/>
          <w:left w:w="28" w:type="dxa"/>
          <w:bottom w:w="28" w:type="dxa"/>
          <w:right w:w="28" w:type="dxa"/>
        </w:tblCellMar>
      </w:tblPr>
      <w:tblGrid>
        <w:gridCol w:w="216"/>
        <w:gridCol w:w="191"/>
        <w:gridCol w:w="192"/>
        <w:gridCol w:w="534"/>
        <w:gridCol w:w="534"/>
        <w:gridCol w:w="536"/>
        <w:gridCol w:w="918"/>
        <w:gridCol w:w="918"/>
        <w:gridCol w:w="1314"/>
      </w:tblGrid>
      <w:tr>
        <w:trPr/>
        <w:tc>
          <w:tcPr>
            <w:tcW w:w="2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w:t>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6, 2025</w:t>
            </w:r>
          </w:p>
        </w:tc>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FRANK D. LEE</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Frank D. Lee</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Chief Executive Officer and Director</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bl>
    <w:p>
      <w:pPr>
        <w:pStyle w:val="TextBody"/>
        <w:bidi w:val="0"/>
        <w:spacing w:before="0" w:after="0"/>
        <w:jc w:val="center"/>
        <w:rPr/>
      </w:pPr>
      <w:r>
        <w:rPr/>
      </w:r>
    </w:p>
    <w:p>
      <w:pPr>
        <w:pStyle w:val="TextBody"/>
        <w:bidi w:val="0"/>
        <w:spacing w:before="0" w:after="0"/>
        <w:jc w:val="center"/>
        <w:rPr/>
      </w:pPr>
      <w:r>
        <w:rPr/>
      </w:r>
    </w:p>
    <w:tbl>
      <w:tblPr>
        <w:tblW w:w="4723" w:type="dxa"/>
        <w:jc w:val="center"/>
        <w:tblInd w:w="0" w:type="dxa"/>
        <w:tblLayout w:type="fixed"/>
        <w:tblCellMar>
          <w:top w:w="28" w:type="dxa"/>
          <w:left w:w="28" w:type="dxa"/>
          <w:bottom w:w="28" w:type="dxa"/>
          <w:right w:w="28" w:type="dxa"/>
        </w:tblCellMar>
      </w:tblPr>
      <w:tblGrid>
        <w:gridCol w:w="216"/>
        <w:gridCol w:w="191"/>
        <w:gridCol w:w="192"/>
        <w:gridCol w:w="534"/>
        <w:gridCol w:w="534"/>
        <w:gridCol w:w="536"/>
        <w:gridCol w:w="737"/>
        <w:gridCol w:w="737"/>
        <w:gridCol w:w="1046"/>
      </w:tblGrid>
      <w:tr>
        <w:trPr/>
        <w:tc>
          <w:tcPr>
            <w:tcW w:w="2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w:t>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6, 2025</w:t>
            </w:r>
          </w:p>
        </w:tc>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SHAWN M. CROSS</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Shawn M. Cross</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Chief Financial Officer</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(Principal Financial Officer)</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75260"/>
                <wp:effectExtent l="0" t="0" r="0" b="0"/>
                <wp:wrapNone/>
                <wp:docPr id="69" name="Frame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ix?doc=/Archives/edgar/data/1396814/000139681425000041/pcrx-20241231.htm" TargetMode="External"/><Relationship Id="rId4" Type="http://schemas.openxmlformats.org/officeDocument/2006/relationships/hyperlink" Target="https://www.sec.gov/ix?doc=/Archives/edgar/data/1396814/000139681425000041/pcrx-20241231.htm" TargetMode="External"/><Relationship Id="rId5" Type="http://schemas.openxmlformats.org/officeDocument/2006/relationships/image" Target="media/image2.jpeg"/><Relationship Id="rId6" Type="http://schemas.openxmlformats.org/officeDocument/2006/relationships/hyperlink" Target="https://www.sec.gov/ix?doc=/Archives/edgar/data/1396814/000139681425000041/pcrx-20241231.htm" TargetMode="External"/><Relationship Id="rId7" Type="http://schemas.openxmlformats.org/officeDocument/2006/relationships/hyperlink" Target="https://www.sec.gov/ix?doc=/Archives/edgar/data/1396814/000139681425000041/pcrx-20241231.htm" TargetMode="External"/><Relationship Id="rId8" Type="http://schemas.openxmlformats.org/officeDocument/2006/relationships/hyperlink" Target="https://www.sec.gov/ix?doc=/Archives/edgar/data/1396814/000139681425000041/pcrx-20241231.htm" TargetMode="External"/><Relationship Id="rId9" Type="http://schemas.openxmlformats.org/officeDocument/2006/relationships/hyperlink" Target="https://www.sec.gov/Archives/edgar/data/1396814/000110465925065979/tm2519804d1_ex10-1.htm"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36120</Words>
  <Characters>201039</Characters>
  <CharactersWithSpaces>235565</CharactersWithSpaces>
  <Paragraphs>3596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