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8074.xml.htm"/>
      <w:bookmarkStart w:id="1" w:name="kswkform4_17870880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SLONIN JONATHAN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PACIRA BIOSCIENCES,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SIERRA POINT PARKWAY, 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BRISBANE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Pacira BioSciences,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PCRX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7"/>
        <w:gridCol w:w="900"/>
        <w:gridCol w:w="771"/>
        <w:gridCol w:w="598"/>
        <w:gridCol w:w="342"/>
        <w:gridCol w:w="825"/>
        <w:gridCol w:w="438"/>
        <w:gridCol w:w="745"/>
        <w:gridCol w:w="1479"/>
        <w:gridCol w:w="977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3,040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23.23</w:t>
            </w:r>
          </w:p>
        </w:tc>
        <w:tc>
          <w:tcPr>
            <w:tcW w:w="14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216,383.646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previously adopted by the reporting person in accordance with Rule 10b5-1 of the Securities Exchange Act of 1934. The Rule 10b5-1 trading plan was adopted on August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511.471 shares of common stock acquired under the issuer's employee stock purchase plan in June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Kristen Williams,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75723" TargetMode="External"/><Relationship Id="rId5" Type="http://schemas.openxmlformats.org/officeDocument/2006/relationships/hyperlink" Target="http://www.sec.gov/cgi-bin/browse-edgar?action=getcompany&amp;CIK=00013968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3445</Characters>
  <CharactersWithSpaces>4008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